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B46683" w:rsidRDefault="003F77E5" w:rsidP="00B466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>на условн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>земельного участка</w:t>
      </w:r>
      <w:bookmarkStart w:id="0" w:name="_GoBack"/>
      <w:bookmarkEnd w:id="0"/>
    </w:p>
    <w:p w:rsidR="00547C88" w:rsidRPr="00B532A0" w:rsidRDefault="00547C88" w:rsidP="00B46683">
      <w:pPr>
        <w:spacing w:after="0" w:line="240" w:lineRule="auto"/>
        <w:jc w:val="both"/>
        <w:rPr>
          <w:rStyle w:val="aa"/>
          <w:color w:val="auto"/>
          <w:u w:val="none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39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>на условн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26:18:060231:402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улица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– «для индивидуального жил</w:t>
      </w:r>
      <w:r w:rsidR="00C63A57">
        <w:rPr>
          <w:rFonts w:ascii="Times New Roman" w:eastAsia="Times New Roman" w:hAnsi="Times New Roman"/>
          <w:sz w:val="28"/>
          <w:szCs w:val="28"/>
          <w:lang w:eastAsia="ru-RU"/>
        </w:rPr>
        <w:t>ищного строительства (код 2.1)».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Pr="00507DAE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0D22AA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354" w:rsidRDefault="00E55354" w:rsidP="00B817EF">
      <w:pPr>
        <w:spacing w:after="0" w:line="240" w:lineRule="auto"/>
      </w:pPr>
      <w:r>
        <w:separator/>
      </w:r>
    </w:p>
  </w:endnote>
  <w:endnote w:type="continuationSeparator" w:id="0">
    <w:p w:rsidR="00E55354" w:rsidRDefault="00E55354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354" w:rsidRDefault="00E55354" w:rsidP="00B817EF">
      <w:pPr>
        <w:spacing w:after="0" w:line="240" w:lineRule="auto"/>
      </w:pPr>
      <w:r>
        <w:separator/>
      </w:r>
    </w:p>
  </w:footnote>
  <w:footnote w:type="continuationSeparator" w:id="0">
    <w:p w:rsidR="00E55354" w:rsidRDefault="00E55354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1BB5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5354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19F3B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A4B2-36AA-488E-AF1A-57F251A5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3642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198</cp:revision>
  <cp:lastPrinted>2020-10-20T13:24:00Z</cp:lastPrinted>
  <dcterms:created xsi:type="dcterms:W3CDTF">2017-11-30T05:26:00Z</dcterms:created>
  <dcterms:modified xsi:type="dcterms:W3CDTF">2023-01-16T05:33:00Z</dcterms:modified>
</cp:coreProperties>
</file>