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FF0000"/>
          <w:kern w:val="2"/>
          <w:sz w:val="32"/>
          <w:szCs w:val="32"/>
          <w:lang w:bidi="ru-RU"/>
        </w:rPr>
      </w:pPr>
      <w:bookmarkStart w:id="0" w:name="P0001"/>
      <w:bookmarkStart w:id="1" w:name="_GoBack"/>
      <w:bookmarkEnd w:id="0"/>
      <w:bookmarkEnd w:id="1"/>
      <w:r w:rsidRPr="009B5B96">
        <w:rPr>
          <w:rFonts w:ascii="Times New Roman" w:eastAsia="Calibri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4A178D27" wp14:editId="048EE371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bidi="ru-RU"/>
        </w:rPr>
      </w:pPr>
      <w:r w:rsidRPr="009B5B96"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8"/>
          <w:szCs w:val="28"/>
          <w:lang w:bidi="ru-RU"/>
        </w:rPr>
      </w:pPr>
    </w:p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9B5B96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АДМИНИСТРАЦИИ</w:t>
      </w:r>
    </w:p>
    <w:p w:rsidR="009B5B96" w:rsidRPr="009B5B96" w:rsidRDefault="009B5B96" w:rsidP="009B5B96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9B5B96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9B5B96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СТАВРОПОЛЬСКОГО КРАЯ</w:t>
      </w:r>
    </w:p>
    <w:p w:rsidR="009B5B96" w:rsidRPr="009B5B96" w:rsidRDefault="009B5B96" w:rsidP="009B5B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kern w:val="2"/>
          <w:sz w:val="28"/>
          <w:szCs w:val="24"/>
          <w:lang w:bidi="ru-RU"/>
        </w:rPr>
      </w:pPr>
    </w:p>
    <w:p w:rsidR="009B5B96" w:rsidRPr="009B5B96" w:rsidRDefault="009B5B96" w:rsidP="009B5B96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</w:pPr>
      <w:r w:rsidRPr="009B5B96">
        <w:rPr>
          <w:rFonts w:ascii="Times New Roman" w:eastAsia="Calibri" w:hAnsi="Times New Roman"/>
          <w:sz w:val="28"/>
          <w:szCs w:val="24"/>
          <w:lang w:bidi="ru-RU"/>
        </w:rPr>
        <w:t>2</w:t>
      </w:r>
      <w:r>
        <w:rPr>
          <w:rFonts w:ascii="Times New Roman" w:eastAsia="Calibri" w:hAnsi="Times New Roman"/>
          <w:sz w:val="28"/>
          <w:szCs w:val="24"/>
          <w:lang w:bidi="ru-RU"/>
        </w:rPr>
        <w:t>7</w:t>
      </w:r>
      <w:r w:rsidRPr="009B5B96">
        <w:rPr>
          <w:rFonts w:ascii="Times New Roman" w:eastAsia="Calibri" w:hAnsi="Times New Roman"/>
          <w:sz w:val="28"/>
          <w:szCs w:val="24"/>
          <w:lang w:bidi="ru-RU"/>
        </w:rPr>
        <w:t xml:space="preserve"> августа</w:t>
      </w:r>
      <w:r w:rsidRPr="009B5B96"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 xml:space="preserve"> 2024 г</w:t>
      </w:r>
      <w:r w:rsidRPr="009B5B96">
        <w:rPr>
          <w:rFonts w:ascii="Times New Roman" w:eastAsia="Calibri" w:hAnsi="Times New Roman" w:cs="Arial Unicode MS"/>
          <w:kern w:val="2"/>
          <w:sz w:val="24"/>
          <w:szCs w:val="24"/>
          <w:lang w:bidi="ru-RU"/>
        </w:rPr>
        <w:t xml:space="preserve">.            </w:t>
      </w:r>
      <w:r>
        <w:rPr>
          <w:rFonts w:ascii="Times New Roman" w:eastAsia="Calibri" w:hAnsi="Times New Roman" w:cs="Arial Unicode MS"/>
          <w:kern w:val="2"/>
          <w:sz w:val="24"/>
          <w:szCs w:val="24"/>
          <w:lang w:bidi="ru-RU"/>
        </w:rPr>
        <w:t xml:space="preserve">  </w:t>
      </w:r>
      <w:r w:rsidRPr="009B5B96">
        <w:rPr>
          <w:rFonts w:ascii="Times New Roman" w:eastAsia="Calibri" w:hAnsi="Times New Roman" w:cs="Arial Unicode MS"/>
          <w:kern w:val="2"/>
          <w:sz w:val="24"/>
          <w:szCs w:val="24"/>
          <w:lang w:bidi="ru-RU"/>
        </w:rPr>
        <w:t xml:space="preserve">             с. Александровское</w:t>
      </w:r>
      <w:r w:rsidRPr="009B5B96">
        <w:rPr>
          <w:rFonts w:ascii="Times New Roman" w:eastAsia="Calibri" w:hAnsi="Times New Roman" w:cs="Arial Unicode MS"/>
          <w:kern w:val="2"/>
          <w:sz w:val="32"/>
          <w:szCs w:val="28"/>
          <w:lang w:bidi="ru-RU"/>
        </w:rPr>
        <w:t xml:space="preserve">                  </w:t>
      </w:r>
      <w:r>
        <w:rPr>
          <w:rFonts w:ascii="Times New Roman" w:eastAsia="Calibri" w:hAnsi="Times New Roman" w:cs="Arial Unicode MS"/>
          <w:kern w:val="2"/>
          <w:sz w:val="32"/>
          <w:szCs w:val="28"/>
          <w:lang w:bidi="ru-RU"/>
        </w:rPr>
        <w:t xml:space="preserve">  </w:t>
      </w:r>
      <w:r w:rsidRPr="009B5B96">
        <w:rPr>
          <w:rFonts w:ascii="Times New Roman" w:eastAsia="Calibri" w:hAnsi="Times New Roman" w:cs="Arial Unicode MS"/>
          <w:kern w:val="2"/>
          <w:sz w:val="32"/>
          <w:szCs w:val="28"/>
          <w:lang w:bidi="ru-RU"/>
        </w:rPr>
        <w:t xml:space="preserve">                </w:t>
      </w:r>
      <w:r w:rsidRPr="009B5B96"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>№ 8</w:t>
      </w:r>
      <w:r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>46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9B5B9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2B9F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</w:t>
      </w:r>
      <w:r>
        <w:rPr>
          <w:rFonts w:ascii="Times New Roman" w:hAnsi="Times New Roman"/>
          <w:sz w:val="28"/>
          <w:szCs w:val="28"/>
        </w:rPr>
        <w:t>02 августа</w:t>
      </w:r>
      <w:r w:rsidRPr="00772B9F">
        <w:rPr>
          <w:rFonts w:ascii="Times New Roman" w:hAnsi="Times New Roman"/>
          <w:sz w:val="28"/>
          <w:szCs w:val="28"/>
        </w:rPr>
        <w:t xml:space="preserve"> 2024 г. </w:t>
      </w:r>
      <w:r w:rsidRPr="00641ED3">
        <w:rPr>
          <w:rFonts w:ascii="Times New Roman" w:hAnsi="Times New Roman"/>
          <w:sz w:val="28"/>
          <w:szCs w:val="28"/>
        </w:rPr>
        <w:t xml:space="preserve">№ </w:t>
      </w:r>
      <w:r w:rsidR="00641ED3" w:rsidRPr="00641ED3">
        <w:rPr>
          <w:rFonts w:ascii="Times New Roman" w:hAnsi="Times New Roman"/>
          <w:sz w:val="28"/>
          <w:szCs w:val="28"/>
        </w:rPr>
        <w:t xml:space="preserve">891/84 </w:t>
      </w:r>
      <w:r w:rsidRPr="00772B9F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EB2639" w:rsidRPr="00BF00F5" w:rsidRDefault="00EB263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B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652, от 28 декабря 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2021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1726, от 24 февраля 2022 г. № 147, от 06 июля 2022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728, от 09 сентября</w:t>
      </w:r>
      <w:r w:rsidR="00ED7B9D" w:rsidRPr="00ED7B9D">
        <w:rPr>
          <w:rFonts w:ascii="Times New Roman" w:hAnsi="Times New Roman"/>
          <w:sz w:val="28"/>
          <w:szCs w:val="28"/>
        </w:rPr>
        <w:t xml:space="preserve"> </w:t>
      </w:r>
      <w:r w:rsidR="00ED7B9D" w:rsidRPr="009B5B96">
        <w:rPr>
          <w:rFonts w:ascii="Times New Roman" w:hAnsi="Times New Roman"/>
          <w:sz w:val="28"/>
          <w:szCs w:val="28"/>
        </w:rPr>
        <w:t xml:space="preserve">2022 </w:t>
      </w:r>
      <w:r w:rsidR="00ED7B9D">
        <w:rPr>
          <w:rFonts w:ascii="Times New Roman" w:hAnsi="Times New Roman"/>
          <w:sz w:val="28"/>
          <w:szCs w:val="28"/>
        </w:rPr>
        <w:t xml:space="preserve">г. </w:t>
      </w:r>
      <w:r w:rsidRPr="00BF00F5">
        <w:rPr>
          <w:rFonts w:ascii="Times New Roman" w:hAnsi="Times New Roman"/>
          <w:sz w:val="28"/>
          <w:szCs w:val="28"/>
        </w:rPr>
        <w:t xml:space="preserve">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649, от 14 сентября 2023 г. № 1003, от 23 ноября 2023</w:t>
      </w:r>
      <w:r w:rsidR="00DB3E60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1296, от 20 марта 2024 г. № 277</w:t>
      </w:r>
      <w:r w:rsidR="007554DC">
        <w:rPr>
          <w:rFonts w:ascii="Times New Roman" w:hAnsi="Times New Roman"/>
          <w:sz w:val="28"/>
          <w:szCs w:val="28"/>
        </w:rPr>
        <w:t>, от 25 июня 2024 г. № 605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</w:t>
      </w:r>
      <w:r w:rsidR="00DB3E60">
        <w:rPr>
          <w:rFonts w:ascii="Times New Roman" w:hAnsi="Times New Roman"/>
          <w:sz w:val="28"/>
          <w:szCs w:val="28"/>
        </w:rPr>
        <w:t xml:space="preserve">                   </w:t>
      </w:r>
      <w:r w:rsidRPr="00BF00F5">
        <w:rPr>
          <w:rFonts w:ascii="Times New Roman" w:hAnsi="Times New Roman"/>
          <w:sz w:val="28"/>
          <w:szCs w:val="28"/>
        </w:rPr>
        <w:t>87 151,47 тыс. руб., в том числе, по годам: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267E0B" w:rsidRDefault="00267E0B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67E0B" w:rsidRDefault="00267E0B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</w:t>
      </w:r>
      <w:r w:rsidR="00641ED3">
        <w:rPr>
          <w:rFonts w:ascii="Times New Roman" w:hAnsi="Times New Roman"/>
          <w:sz w:val="28"/>
          <w:szCs w:val="28"/>
        </w:rPr>
        <w:t>132 199,89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25 089,72 </w:t>
      </w:r>
      <w:r w:rsidRPr="00BF00F5">
        <w:rPr>
          <w:rFonts w:ascii="Times New Roman" w:hAnsi="Times New Roman"/>
          <w:sz w:val="28"/>
          <w:szCs w:val="28"/>
        </w:rPr>
        <w:t>тыс. рублей;</w:t>
      </w:r>
    </w:p>
    <w:p w:rsidR="00641ED3" w:rsidRDefault="00641ED3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24 889,76 тыс. рублей;</w:t>
      </w:r>
    </w:p>
    <w:p w:rsidR="00641ED3" w:rsidRDefault="00641ED3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24 298,86 тыс. рублей.</w:t>
      </w:r>
      <w:r w:rsidRPr="00BF00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41ED3" w:rsidRPr="00BF00F5" w:rsidRDefault="00641ED3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="00641ED3">
        <w:rPr>
          <w:rFonts w:ascii="Times New Roman" w:hAnsi="Times New Roman"/>
          <w:sz w:val="28"/>
          <w:szCs w:val="28"/>
        </w:rPr>
        <w:t>132 199,89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9B5B9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25 089,72</w:t>
      </w:r>
      <w:r w:rsidRPr="00BF00F5">
        <w:rPr>
          <w:rFonts w:ascii="Times New Roman" w:hAnsi="Times New Roman"/>
          <w:sz w:val="28"/>
          <w:szCs w:val="28"/>
        </w:rPr>
        <w:t xml:space="preserve"> тыс. рублей;</w:t>
      </w:r>
    </w:p>
    <w:p w:rsidR="00641ED3" w:rsidRDefault="007554DC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641ED3">
        <w:rPr>
          <w:rFonts w:ascii="Times New Roman" w:hAnsi="Times New Roman"/>
          <w:sz w:val="28"/>
          <w:szCs w:val="28"/>
        </w:rPr>
        <w:t>24 889,76 тыс. рублей;</w:t>
      </w:r>
    </w:p>
    <w:p w:rsidR="007554DC" w:rsidRPr="00BF00F5" w:rsidRDefault="00641ED3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24 298,86 тыс. рублей.</w:t>
      </w:r>
      <w:r w:rsidR="007554DC" w:rsidRPr="00BF00F5">
        <w:rPr>
          <w:rFonts w:ascii="Times New Roman" w:hAnsi="Times New Roman"/>
          <w:sz w:val="28"/>
          <w:szCs w:val="28"/>
        </w:rPr>
        <w:t>»</w:t>
      </w:r>
      <w:r w:rsidR="007554DC">
        <w:rPr>
          <w:rFonts w:ascii="Times New Roman" w:hAnsi="Times New Roman"/>
          <w:sz w:val="28"/>
          <w:szCs w:val="28"/>
        </w:rPr>
        <w:t>.</w:t>
      </w:r>
    </w:p>
    <w:p w:rsidR="00EB2639" w:rsidRPr="00BF00F5" w:rsidRDefault="00EB2639" w:rsidP="009B5B9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B5B9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093974">
        <w:rPr>
          <w:rFonts w:ascii="Times New Roman" w:hAnsi="Times New Roman"/>
          <w:sz w:val="28"/>
          <w:szCs w:val="28"/>
        </w:rPr>
        <w:t>3</w:t>
      </w:r>
      <w:r w:rsidRPr="00BF00F5">
        <w:rPr>
          <w:rFonts w:ascii="Times New Roman" w:hAnsi="Times New Roman"/>
          <w:sz w:val="28"/>
          <w:szCs w:val="28"/>
        </w:rPr>
        <w:t>. Приложени</w:t>
      </w:r>
      <w:r w:rsidR="007554DC">
        <w:rPr>
          <w:rFonts w:ascii="Times New Roman" w:hAnsi="Times New Roman"/>
          <w:sz w:val="28"/>
          <w:szCs w:val="28"/>
        </w:rPr>
        <w:t>е</w:t>
      </w:r>
      <w:r w:rsidRPr="00BF00F5">
        <w:rPr>
          <w:rFonts w:ascii="Times New Roman" w:hAnsi="Times New Roman"/>
          <w:sz w:val="28"/>
          <w:szCs w:val="28"/>
        </w:rPr>
        <w:t xml:space="preserve"> </w:t>
      </w:r>
      <w:r w:rsidR="007554D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267E0B" w:rsidRDefault="00267E0B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B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7E0B" w:rsidRPr="00BF00F5" w:rsidRDefault="00267E0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</w:t>
      </w:r>
      <w:r w:rsidR="00267E0B">
        <w:rPr>
          <w:rFonts w:ascii="Times New Roman" w:hAnsi="Times New Roman"/>
          <w:sz w:val="28"/>
          <w:szCs w:val="28"/>
        </w:rPr>
        <w:t xml:space="preserve">    </w:t>
      </w:r>
      <w:r w:rsidRPr="00BF00F5">
        <w:rPr>
          <w:rFonts w:ascii="Times New Roman" w:hAnsi="Times New Roman"/>
          <w:sz w:val="28"/>
          <w:szCs w:val="28"/>
        </w:rPr>
        <w:t xml:space="preserve">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EB2639" w:rsidRPr="00ED4786" w:rsidRDefault="00EB2639" w:rsidP="00ED4786">
      <w:pPr>
        <w:tabs>
          <w:tab w:val="left" w:pos="885"/>
        </w:tabs>
        <w:rPr>
          <w:rFonts w:ascii="Times New Roman" w:hAnsi="Times New Roman"/>
          <w:sz w:val="28"/>
          <w:szCs w:val="28"/>
        </w:rPr>
        <w:sectPr w:rsidR="00EB2639" w:rsidRPr="00ED4786">
          <w:pgSz w:w="11906" w:h="16838"/>
          <w:pgMar w:top="567" w:right="567" w:bottom="1134" w:left="1985" w:header="709" w:footer="709" w:gutter="0"/>
          <w:cols w:space="720"/>
        </w:sectPr>
      </w:pPr>
    </w:p>
    <w:p w:rsidR="00D634B7" w:rsidRDefault="00D634B7" w:rsidP="00641E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2" w:name="Par512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47"/>
        <w:gridCol w:w="4639"/>
      </w:tblGrid>
      <w:tr w:rsidR="00A479A0" w:rsidRPr="009241D7" w:rsidTr="00267E0B">
        <w:tc>
          <w:tcPr>
            <w:tcW w:w="10336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A479A0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267E0B" w:rsidRPr="009241D7" w:rsidRDefault="00267E0B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284018">
        <w:rPr>
          <w:rFonts w:ascii="Times New Roman" w:hAnsi="Times New Roman"/>
          <w:sz w:val="24"/>
        </w:rPr>
        <w:t>ОБЪЕМЫ И ИСТОЧНИКИ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 w:rsidRPr="00284018">
        <w:rPr>
          <w:rFonts w:ascii="Times New Roman" w:hAnsi="Times New Roman"/>
        </w:rPr>
        <w:t>края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52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2432"/>
        <w:gridCol w:w="1535"/>
        <w:gridCol w:w="449"/>
        <w:gridCol w:w="1134"/>
        <w:gridCol w:w="1134"/>
        <w:gridCol w:w="1134"/>
        <w:gridCol w:w="1134"/>
        <w:gridCol w:w="992"/>
        <w:gridCol w:w="738"/>
        <w:gridCol w:w="236"/>
        <w:gridCol w:w="160"/>
        <w:gridCol w:w="76"/>
        <w:gridCol w:w="1200"/>
        <w:gridCol w:w="1134"/>
        <w:gridCol w:w="803"/>
        <w:gridCol w:w="25"/>
        <w:gridCol w:w="211"/>
        <w:gridCol w:w="25"/>
      </w:tblGrid>
      <w:tr w:rsidR="00284018" w:rsidRPr="00284018" w:rsidTr="00E05E66">
        <w:trPr>
          <w:gridAfter w:val="4"/>
          <w:wAfter w:w="1064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E05E66">
        <w:trPr>
          <w:gridAfter w:val="4"/>
          <w:wAfter w:w="1064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Справочно: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E05E66" w:rsidRPr="00284018" w:rsidTr="00E05E66">
        <w:trPr>
          <w:gridAfter w:val="4"/>
          <w:wAfter w:w="106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tabs>
                <w:tab w:val="center" w:pos="0"/>
                <w:tab w:val="right" w:pos="776"/>
              </w:tabs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E05E66" w:rsidRPr="00284018" w:rsidTr="00E05E66">
        <w:trPr>
          <w:gridAfter w:val="4"/>
          <w:wAfter w:w="1064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24 889,76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24 298,86</w:t>
            </w:r>
          </w:p>
        </w:tc>
      </w:tr>
      <w:tr w:rsidR="00E05E66" w:rsidRPr="00284018" w:rsidTr="00E05E66">
        <w:trPr>
          <w:gridAfter w:val="4"/>
          <w:wAfter w:w="1064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Александровского муниципального округа Ставропольского края (далее –   бюджет муниципального округа),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9F3FDA" w:rsidP="006A444B">
            <w:pPr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13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Справочно: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6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Справочно:</w:t>
            </w:r>
          </w:p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т.ч. 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05E66" w:rsidRPr="00284018" w:rsidTr="00E05E66">
        <w:trPr>
          <w:gridAfter w:val="4"/>
          <w:wAfter w:w="1064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5E66" w:rsidRPr="00284018" w:rsidTr="00E05E66">
        <w:trPr>
          <w:gridAfter w:val="4"/>
          <w:wAfter w:w="106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05E66" w:rsidRPr="00284018" w:rsidTr="00E05E66">
        <w:trPr>
          <w:gridAfter w:val="4"/>
          <w:wAfter w:w="106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E05E66">
        <w:trPr>
          <w:gridAfter w:val="4"/>
          <w:wAfter w:w="1064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E05E66">
        <w:trPr>
          <w:gridAfter w:val="4"/>
          <w:wAfter w:w="1064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E05E66">
        <w:trPr>
          <w:gridAfter w:val="4"/>
          <w:wAfter w:w="1064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1.5.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E05E66">
        <w:trPr>
          <w:gridAfter w:val="4"/>
          <w:wAfter w:w="1064" w:type="dxa"/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6F1C0E">
        <w:tc>
          <w:tcPr>
            <w:tcW w:w="4678" w:type="dxa"/>
            <w:gridSpan w:val="3"/>
          </w:tcPr>
          <w:p w:rsidR="00ED4786" w:rsidRPr="00284018" w:rsidRDefault="00ED4786" w:rsidP="00ED4786"/>
        </w:tc>
        <w:tc>
          <w:tcPr>
            <w:tcW w:w="1034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</w:tr>
      <w:tr w:rsidR="00ED4786" w:rsidRPr="00284018" w:rsidTr="00E05E66">
        <w:trPr>
          <w:gridAfter w:val="1"/>
          <w:wAfter w:w="25" w:type="dxa"/>
        </w:trPr>
        <w:tc>
          <w:tcPr>
            <w:tcW w:w="113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66" w:rsidRDefault="00E05E66" w:rsidP="006F1C0E">
            <w:pPr>
              <w:ind w:firstLine="4453"/>
              <w:jc w:val="center"/>
            </w:pPr>
          </w:p>
          <w:p w:rsidR="00ED4786" w:rsidRPr="00284018" w:rsidRDefault="006F1C0E" w:rsidP="006F1C0E">
            <w:pPr>
              <w:ind w:firstLine="4453"/>
              <w:jc w:val="center"/>
            </w:pPr>
            <w:r>
              <w:t>_____________________________________________</w:t>
            </w:r>
          </w:p>
          <w:p w:rsidR="00ED4786" w:rsidRPr="00284018" w:rsidRDefault="00ED4786" w:rsidP="00ED4786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/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/>
        </w:tc>
        <w:tc>
          <w:tcPr>
            <w:tcW w:w="2334" w:type="dxa"/>
            <w:gridSpan w:val="2"/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</w:tr>
    </w:tbl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6F1C0E">
      <w:headerReference w:type="default" r:id="rId8"/>
      <w:pgSz w:w="16838" w:h="11906" w:orient="landscape"/>
      <w:pgMar w:top="1418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5C" w:rsidRDefault="001B2F5C">
      <w:pPr>
        <w:spacing w:after="0" w:line="240" w:lineRule="auto"/>
      </w:pPr>
      <w:r>
        <w:separator/>
      </w:r>
    </w:p>
  </w:endnote>
  <w:endnote w:type="continuationSeparator" w:id="0">
    <w:p w:rsidR="001B2F5C" w:rsidRDefault="001B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5C" w:rsidRDefault="001B2F5C">
      <w:pPr>
        <w:spacing w:after="0" w:line="240" w:lineRule="auto"/>
      </w:pPr>
      <w:r>
        <w:separator/>
      </w:r>
    </w:p>
  </w:footnote>
  <w:footnote w:type="continuationSeparator" w:id="0">
    <w:p w:rsidR="001B2F5C" w:rsidRDefault="001B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96" w:rsidRPr="006F1C0E" w:rsidRDefault="009B5B96" w:rsidP="006F1C0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24367"/>
    <w:rsid w:val="00093260"/>
    <w:rsid w:val="00093974"/>
    <w:rsid w:val="000B0FCD"/>
    <w:rsid w:val="000C791A"/>
    <w:rsid w:val="00134005"/>
    <w:rsid w:val="0013487F"/>
    <w:rsid w:val="00145262"/>
    <w:rsid w:val="0016132A"/>
    <w:rsid w:val="00167814"/>
    <w:rsid w:val="00171F39"/>
    <w:rsid w:val="001A00D8"/>
    <w:rsid w:val="001B2F5C"/>
    <w:rsid w:val="001E0FAC"/>
    <w:rsid w:val="0024798B"/>
    <w:rsid w:val="00251846"/>
    <w:rsid w:val="00257413"/>
    <w:rsid w:val="00267925"/>
    <w:rsid w:val="00267E0B"/>
    <w:rsid w:val="00284018"/>
    <w:rsid w:val="002936EA"/>
    <w:rsid w:val="002A7545"/>
    <w:rsid w:val="002F2DCD"/>
    <w:rsid w:val="00372964"/>
    <w:rsid w:val="003A6CFA"/>
    <w:rsid w:val="00453FF5"/>
    <w:rsid w:val="004F4473"/>
    <w:rsid w:val="00513FC9"/>
    <w:rsid w:val="005261BD"/>
    <w:rsid w:val="005555F0"/>
    <w:rsid w:val="0056166B"/>
    <w:rsid w:val="00573E5C"/>
    <w:rsid w:val="005857AB"/>
    <w:rsid w:val="005A3F31"/>
    <w:rsid w:val="005B33EC"/>
    <w:rsid w:val="005C7F59"/>
    <w:rsid w:val="005D5F40"/>
    <w:rsid w:val="00605407"/>
    <w:rsid w:val="00641ED3"/>
    <w:rsid w:val="00653472"/>
    <w:rsid w:val="00663D1A"/>
    <w:rsid w:val="006761AB"/>
    <w:rsid w:val="006857F8"/>
    <w:rsid w:val="006A444B"/>
    <w:rsid w:val="006A7087"/>
    <w:rsid w:val="006C1665"/>
    <w:rsid w:val="006E2909"/>
    <w:rsid w:val="006E320B"/>
    <w:rsid w:val="006F1C0E"/>
    <w:rsid w:val="0071714D"/>
    <w:rsid w:val="0072142C"/>
    <w:rsid w:val="00722647"/>
    <w:rsid w:val="00722CB9"/>
    <w:rsid w:val="007554DC"/>
    <w:rsid w:val="00766728"/>
    <w:rsid w:val="00771036"/>
    <w:rsid w:val="007A50D8"/>
    <w:rsid w:val="007E20D0"/>
    <w:rsid w:val="0088728F"/>
    <w:rsid w:val="008A04D4"/>
    <w:rsid w:val="008B5EE2"/>
    <w:rsid w:val="008C33F2"/>
    <w:rsid w:val="00941A9C"/>
    <w:rsid w:val="00951EDB"/>
    <w:rsid w:val="00995C0F"/>
    <w:rsid w:val="009B5B96"/>
    <w:rsid w:val="009F3FDA"/>
    <w:rsid w:val="00A479A0"/>
    <w:rsid w:val="00A66496"/>
    <w:rsid w:val="00A83C0E"/>
    <w:rsid w:val="00AA062B"/>
    <w:rsid w:val="00AB18B6"/>
    <w:rsid w:val="00B5587A"/>
    <w:rsid w:val="00B6453B"/>
    <w:rsid w:val="00BB2C2B"/>
    <w:rsid w:val="00BD163D"/>
    <w:rsid w:val="00BF00F5"/>
    <w:rsid w:val="00C2098B"/>
    <w:rsid w:val="00C265D2"/>
    <w:rsid w:val="00C33328"/>
    <w:rsid w:val="00CE3DF8"/>
    <w:rsid w:val="00CE6D7F"/>
    <w:rsid w:val="00D634B7"/>
    <w:rsid w:val="00D64E58"/>
    <w:rsid w:val="00DA11C7"/>
    <w:rsid w:val="00DB27B0"/>
    <w:rsid w:val="00DB3A22"/>
    <w:rsid w:val="00DB3E60"/>
    <w:rsid w:val="00E05E66"/>
    <w:rsid w:val="00EA3BC4"/>
    <w:rsid w:val="00EB2639"/>
    <w:rsid w:val="00ED4786"/>
    <w:rsid w:val="00ED7B9D"/>
    <w:rsid w:val="00EF52B1"/>
    <w:rsid w:val="00F03123"/>
    <w:rsid w:val="00F524A0"/>
    <w:rsid w:val="00F66A59"/>
    <w:rsid w:val="00F736BF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2</cp:revision>
  <cp:lastPrinted>2024-08-29T09:00:00Z</cp:lastPrinted>
  <dcterms:created xsi:type="dcterms:W3CDTF">2024-09-04T07:08:00Z</dcterms:created>
  <dcterms:modified xsi:type="dcterms:W3CDTF">2024-09-04T07:08:00Z</dcterms:modified>
</cp:coreProperties>
</file>