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CD" w:rsidRPr="00F27D18" w:rsidRDefault="005562CD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27D18" w:rsidRDefault="00FC0111" w:rsidP="00F27D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уровня </w:t>
      </w:r>
      <w:r w:rsidR="00C501CA" w:rsidRPr="00C501CA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социально-экономического развития </w:t>
      </w:r>
      <w:r w:rsidR="00F27D18" w:rsidRPr="00FC0111">
        <w:rPr>
          <w:rFonts w:ascii="Times New Roman" w:hAnsi="Times New Roman"/>
          <w:sz w:val="28"/>
          <w:szCs w:val="28"/>
          <w:lang w:eastAsia="ru-RU"/>
        </w:rPr>
        <w:t>Александровского муниципального округа Ставропольского края</w:t>
      </w:r>
      <w:r w:rsidR="00F27D18" w:rsidRPr="00C501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D18">
        <w:rPr>
          <w:rFonts w:ascii="Times New Roman" w:eastAsia="Times New Roman" w:hAnsi="Times New Roman"/>
          <w:sz w:val="28"/>
          <w:szCs w:val="28"/>
          <w:lang w:eastAsia="ru-RU"/>
        </w:rPr>
        <w:t>за 202</w:t>
      </w:r>
      <w:r w:rsidR="00F27D18" w:rsidRPr="00F27D1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501CA" w:rsidRPr="00C501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27D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501CA" w:rsidRPr="00C501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7D18" w:rsidRDefault="00F27D18" w:rsidP="00F27D1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111" w:rsidRDefault="00F27D18" w:rsidP="00BC17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B02A3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1CA" w:rsidRPr="00C501C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F27D18">
        <w:rPr>
          <w:rFonts w:ascii="Times New Roman" w:hAnsi="Times New Roman"/>
          <w:sz w:val="28"/>
          <w:szCs w:val="28"/>
        </w:rPr>
        <w:t xml:space="preserve">порядком </w:t>
      </w:r>
      <w:r w:rsidR="008A314A" w:rsidRPr="008A314A">
        <w:rPr>
          <w:rFonts w:ascii="Times New Roman" w:hAnsi="Times New Roman"/>
          <w:color w:val="000000"/>
          <w:spacing w:val="-2"/>
          <w:sz w:val="28"/>
          <w:szCs w:val="28"/>
        </w:rPr>
        <w:t>разработки, корректировки, осуществления мониторинга и контроля реализации прогноза социально-экономического развития Александровского муниципального округа Ставропольского края на долгосрочный период</w:t>
      </w:r>
      <w:r w:rsidR="00C501CA" w:rsidRPr="00C501CA">
        <w:rPr>
          <w:sz w:val="28"/>
          <w:szCs w:val="28"/>
        </w:rPr>
        <w:t xml:space="preserve">, </w:t>
      </w:r>
      <w:r w:rsidR="00C501CA" w:rsidRPr="008A314A">
        <w:rPr>
          <w:rFonts w:ascii="Times New Roman" w:hAnsi="Times New Roman"/>
          <w:sz w:val="28"/>
          <w:szCs w:val="28"/>
        </w:rPr>
        <w:t>утвержденного</w:t>
      </w:r>
      <w:r w:rsidR="008A314A" w:rsidRPr="008A314A">
        <w:rPr>
          <w:rFonts w:ascii="Times New Roman" w:hAnsi="Times New Roman"/>
        </w:rPr>
        <w:t xml:space="preserve"> </w:t>
      </w:r>
      <w:r w:rsidR="008A314A" w:rsidRPr="008A314A">
        <w:rPr>
          <w:rFonts w:ascii="Times New Roman" w:hAnsi="Times New Roman"/>
          <w:sz w:val="28"/>
          <w:szCs w:val="28"/>
        </w:rPr>
        <w:t>постановлением администрации Александровского муниципального округа Ставропольского края</w:t>
      </w:r>
      <w:r w:rsidR="00C501CA" w:rsidRPr="008A314A">
        <w:rPr>
          <w:rFonts w:ascii="Times New Roman" w:hAnsi="Times New Roman"/>
          <w:sz w:val="28"/>
          <w:szCs w:val="28"/>
        </w:rPr>
        <w:t xml:space="preserve"> </w:t>
      </w:r>
      <w:r w:rsidR="00BC1781">
        <w:rPr>
          <w:rFonts w:ascii="Times New Roman" w:hAnsi="Times New Roman"/>
          <w:sz w:val="28"/>
          <w:szCs w:val="28"/>
        </w:rPr>
        <w:t>от 22 сентября 2021</w:t>
      </w:r>
      <w:r w:rsidR="008A314A" w:rsidRPr="008A314A">
        <w:rPr>
          <w:rFonts w:ascii="Times New Roman" w:hAnsi="Times New Roman"/>
          <w:sz w:val="28"/>
          <w:szCs w:val="28"/>
        </w:rPr>
        <w:t>г. № 1039</w:t>
      </w:r>
      <w:r w:rsidR="008A31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01CA" w:rsidRPr="00C501CA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реализации Прогноза социально-экономического развития </w:t>
      </w:r>
      <w:r w:rsidR="008A314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C501CA" w:rsidRPr="00C501C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период до 2035 года, утвержденного </w:t>
      </w:r>
      <w:r w:rsidR="008A314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8A314A" w:rsidRPr="008A314A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Ставропольского края от</w:t>
      </w:r>
      <w:r w:rsidR="008A314A">
        <w:rPr>
          <w:rFonts w:ascii="Times New Roman" w:hAnsi="Times New Roman"/>
          <w:sz w:val="28"/>
          <w:szCs w:val="28"/>
        </w:rPr>
        <w:t xml:space="preserve"> 17.12.2024г №</w:t>
      </w:r>
      <w:r w:rsidR="00BC1781">
        <w:rPr>
          <w:rFonts w:ascii="Times New Roman" w:hAnsi="Times New Roman"/>
          <w:sz w:val="28"/>
          <w:szCs w:val="28"/>
        </w:rPr>
        <w:t>1254</w:t>
      </w:r>
      <w:r w:rsidR="00BC17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314A">
        <w:rPr>
          <w:rFonts w:ascii="Times New Roman" w:eastAsia="Times New Roman" w:hAnsi="Times New Roman"/>
          <w:sz w:val="28"/>
          <w:szCs w:val="28"/>
          <w:lang w:eastAsia="ru-RU"/>
        </w:rPr>
        <w:t>за 2024</w:t>
      </w:r>
      <w:r w:rsidR="00C501CA" w:rsidRPr="00C501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осуществлен мониторинг оценки степени достижения запланированных значений целевых показателей прогноза, а также оценка уровня социально-экономического развития </w:t>
      </w:r>
      <w:r w:rsidR="008A314A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C501CA" w:rsidRPr="00C501CA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обозначением возможных рисков.</w:t>
      </w:r>
    </w:p>
    <w:p w:rsidR="00FC0111" w:rsidRPr="00FC0111" w:rsidRDefault="00781985" w:rsidP="00FC011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B02A3" w:rsidRPr="00FC0111">
        <w:rPr>
          <w:rFonts w:ascii="Times New Roman" w:hAnsi="Times New Roman"/>
          <w:sz w:val="28"/>
          <w:szCs w:val="28"/>
          <w:lang w:eastAsia="ru-RU"/>
        </w:rPr>
        <w:t>2024г.</w:t>
      </w:r>
      <w:r w:rsidR="005B02A3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5B02A3" w:rsidRPr="00FC0111">
        <w:rPr>
          <w:rFonts w:ascii="Times New Roman" w:hAnsi="Times New Roman"/>
          <w:sz w:val="28"/>
          <w:szCs w:val="28"/>
          <w:lang w:eastAsia="ru-RU"/>
        </w:rPr>
        <w:t xml:space="preserve">Александровского муниципального округа </w:t>
      </w:r>
      <w:r>
        <w:rPr>
          <w:rFonts w:ascii="Times New Roman" w:hAnsi="Times New Roman"/>
          <w:sz w:val="28"/>
          <w:szCs w:val="28"/>
          <w:lang w:eastAsia="ru-RU"/>
        </w:rPr>
        <w:t>ч</w:t>
      </w:r>
      <w:r w:rsidR="00BC1781" w:rsidRPr="00BC1781">
        <w:rPr>
          <w:rFonts w:ascii="Times New Roman" w:hAnsi="Times New Roman"/>
          <w:sz w:val="28"/>
          <w:szCs w:val="28"/>
          <w:lang w:eastAsia="ru-RU"/>
        </w:rPr>
        <w:t>исленность населения (в среднегодовом исчислении)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составила </w:t>
      </w:r>
      <w:r w:rsidR="00FC0111" w:rsidRPr="00FC0111">
        <w:rPr>
          <w:rFonts w:ascii="Times New Roman" w:hAnsi="Times New Roman"/>
          <w:sz w:val="28"/>
          <w:szCs w:val="28"/>
          <w:lang w:eastAsia="ru-RU"/>
        </w:rPr>
        <w:t>46</w:t>
      </w:r>
      <w:r w:rsidR="00BC1781">
        <w:rPr>
          <w:rFonts w:ascii="Times New Roman" w:hAnsi="Times New Roman"/>
          <w:sz w:val="28"/>
          <w:szCs w:val="28"/>
          <w:lang w:eastAsia="ru-RU"/>
        </w:rPr>
        <w:t>100</w:t>
      </w:r>
      <w:r w:rsidR="00FC0111" w:rsidRPr="00FC0111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BC1781">
        <w:rPr>
          <w:rFonts w:ascii="Times New Roman" w:hAnsi="Times New Roman"/>
          <w:sz w:val="28"/>
          <w:szCs w:val="28"/>
          <w:lang w:eastAsia="ru-RU"/>
        </w:rPr>
        <w:t xml:space="preserve"> (планируемое значение – 46006</w:t>
      </w:r>
      <w:r w:rsidR="00BC1781" w:rsidRPr="00FC0111">
        <w:rPr>
          <w:rFonts w:ascii="Times New Roman" w:hAnsi="Times New Roman"/>
          <w:sz w:val="28"/>
          <w:szCs w:val="28"/>
          <w:lang w:eastAsia="ru-RU"/>
        </w:rPr>
        <w:t>).</w:t>
      </w:r>
    </w:p>
    <w:p w:rsid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>В январе-ноябре 2024г. родилось 375 человек, что на 20 человек больше января-ноября 2023 года. Коэффициент рождаемости за данный период составил 8,9 на 1000 человек населения (точност</w:t>
      </w:r>
      <w:r w:rsidR="000604D0">
        <w:rPr>
          <w:rFonts w:ascii="Times New Roman" w:hAnsi="Times New Roman"/>
          <w:sz w:val="28"/>
          <w:szCs w:val="28"/>
          <w:lang w:eastAsia="ru-RU"/>
        </w:rPr>
        <w:t>ь прогнозирования составила 90</w:t>
      </w:r>
      <w:r w:rsidRPr="00FC0111">
        <w:rPr>
          <w:rFonts w:ascii="Times New Roman" w:hAnsi="Times New Roman"/>
          <w:sz w:val="28"/>
          <w:szCs w:val="28"/>
          <w:lang w:eastAsia="ru-RU"/>
        </w:rPr>
        <w:t>%). В округе в январе-ноябре 2024г. умерло 580 человек, что выше аналогичного периода 2023 года на 26 человек. Коэффициент смертности увеличился по сравнению с уровнем прошлого года и составил 13,7 на 1000 человек населения (планируемое значение – 13,2).</w:t>
      </w:r>
    </w:p>
    <w:p w:rsidR="0051183B" w:rsidRPr="00FC0111" w:rsidRDefault="0051183B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0111" w:rsidRPr="00FC0111" w:rsidRDefault="0051183B" w:rsidP="00FC0111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3171A50" wp14:editId="785921C9">
            <wp:extent cx="5250180" cy="3305175"/>
            <wp:effectExtent l="0" t="0" r="762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1183B" w:rsidRDefault="0051183B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iCs/>
          <w:sz w:val="28"/>
          <w:szCs w:val="28"/>
          <w:lang w:eastAsia="ru-RU"/>
        </w:rPr>
        <w:t xml:space="preserve">К отраслевым рискам относятся: </w:t>
      </w:r>
    </w:p>
    <w:p w:rsidR="00FC0111" w:rsidRPr="00FC0111" w:rsidRDefault="00FC0111" w:rsidP="008A0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сохранение отрицательного естественного прироста населения; </w:t>
      </w:r>
    </w:p>
    <w:p w:rsidR="00FC0111" w:rsidRPr="00FC0111" w:rsidRDefault="00FC0111" w:rsidP="008A0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низкий уровень рождаемости; </w:t>
      </w:r>
    </w:p>
    <w:p w:rsidR="00FC0111" w:rsidRPr="00FC0111" w:rsidRDefault="00FC0111" w:rsidP="008A0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высокая смертность населения; </w:t>
      </w:r>
    </w:p>
    <w:p w:rsidR="00FC0111" w:rsidRPr="00FC0111" w:rsidRDefault="00FC0111" w:rsidP="008A0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миграционные процессы. </w:t>
      </w:r>
    </w:p>
    <w:p w:rsidR="00FC0111" w:rsidRPr="00FC0111" w:rsidRDefault="00FC0111" w:rsidP="008A069D">
      <w:pPr>
        <w:spacing w:after="0" w:line="240" w:lineRule="auto"/>
        <w:ind w:right="-99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Точность прогнозирования по </w:t>
      </w:r>
      <w:r w:rsidR="00BC1781">
        <w:rPr>
          <w:rFonts w:ascii="Times New Roman" w:hAnsi="Times New Roman"/>
          <w:sz w:val="28"/>
          <w:szCs w:val="28"/>
        </w:rPr>
        <w:t xml:space="preserve">разделу «Население» составила </w:t>
      </w:r>
      <w:r w:rsidR="00665419" w:rsidRPr="00665419">
        <w:rPr>
          <w:rFonts w:ascii="Times New Roman" w:hAnsi="Times New Roman"/>
          <w:sz w:val="28"/>
          <w:szCs w:val="28"/>
        </w:rPr>
        <w:t>96</w:t>
      </w:r>
      <w:r w:rsidR="00665419">
        <w:rPr>
          <w:rFonts w:ascii="Times New Roman" w:hAnsi="Times New Roman"/>
          <w:sz w:val="28"/>
          <w:szCs w:val="28"/>
        </w:rPr>
        <w:t>,1</w:t>
      </w:r>
      <w:r w:rsidRPr="00FC0111">
        <w:rPr>
          <w:rFonts w:ascii="Times New Roman" w:hAnsi="Times New Roman"/>
          <w:sz w:val="28"/>
          <w:szCs w:val="28"/>
        </w:rPr>
        <w:t>3%.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C011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Промышленное производство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по итогам 2024 года составил 108,7% (в 2023 году составлял 105,22 %), что на 10% ниже планового значения.    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по промышленным видам деятельности в 2024 году составил 802,6 млн. рублей, что на 64,2 млн. рублей выше уровня 2023 года.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Прогноз промышленного производства включает прогнозируемые объемы отгруженных товаров собственного производства, выполненных услуг собственными силами по видам деятельности: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- обрабатывающие производства;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- обеспечение электрической энергией, газом и паром; кондиционирование воздуха.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По виду экономической деятельности «обеспечение электрической энергией, газом и паром» оказано услуг на 226,5 млн. рублей, выше уровня 2023 года на 56,7 млн. рублей и выше планового значения на 18,3 млн. рублей (плановое значение – 208,47 млн. рублей). Темп роста к 2023 году 133,3 %, плановое значение снижено на 8,5 %.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По обрабатывающим производствам объем отгруженной продукции составил 576,1 млн. рублей, что на 7,5 млн. рублей выше 2023 года и выше планового значения на 101 млн. рублей. Темп роста к 2023 году составил 101,3 % (плановое значение – 85,0%).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ACE25E" wp14:editId="3174F48F">
            <wp:simplePos x="0" y="0"/>
            <wp:positionH relativeFrom="column">
              <wp:posOffset>-361315</wp:posOffset>
            </wp:positionH>
            <wp:positionV relativeFrom="paragraph">
              <wp:posOffset>485775</wp:posOffset>
            </wp:positionV>
            <wp:extent cx="6268085" cy="2740660"/>
            <wp:effectExtent l="635" t="0" r="0" b="2540"/>
            <wp:wrapSquare wrapText="right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111">
        <w:rPr>
          <w:rFonts w:ascii="Times New Roman" w:hAnsi="Times New Roman"/>
          <w:sz w:val="28"/>
          <w:szCs w:val="28"/>
          <w:lang w:eastAsia="ru-RU"/>
        </w:rPr>
        <w:t>Схематично изменение основных показателей промышленного производства можно представить в виде диаграммы: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</w:pP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C0111">
        <w:rPr>
          <w:rFonts w:ascii="Times New Roman" w:hAnsi="Times New Roman"/>
          <w:iCs/>
          <w:sz w:val="28"/>
          <w:szCs w:val="28"/>
          <w:lang w:eastAsia="ru-RU"/>
        </w:rPr>
        <w:t xml:space="preserve">К отраслевым рискам относятся: </w:t>
      </w:r>
    </w:p>
    <w:p w:rsidR="00FC0111" w:rsidRPr="00FC0111" w:rsidRDefault="00FC0111" w:rsidP="00FC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lastRenderedPageBreak/>
        <w:t xml:space="preserve">снижение объемов производства;  </w:t>
      </w:r>
    </w:p>
    <w:p w:rsidR="00FC0111" w:rsidRPr="00FC0111" w:rsidRDefault="00FC0111" w:rsidP="00FC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высокая конкуренция; </w:t>
      </w:r>
    </w:p>
    <w:p w:rsidR="00FC0111" w:rsidRPr="00FC0111" w:rsidRDefault="00FC0111" w:rsidP="00FC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сокращение финансовой устойчивости; </w:t>
      </w:r>
    </w:p>
    <w:p w:rsidR="00FC0111" w:rsidRPr="00FC0111" w:rsidRDefault="00FC0111" w:rsidP="00FC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низкий уровень процессов технологического обновления; </w:t>
      </w:r>
    </w:p>
    <w:p w:rsidR="00FC0111" w:rsidRPr="00FC0111" w:rsidRDefault="00FC0111" w:rsidP="00FC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износ зданий, сооружений, машин и оборудования. </w:t>
      </w:r>
    </w:p>
    <w:p w:rsidR="00FC0111" w:rsidRPr="00FC0111" w:rsidRDefault="00FC0111" w:rsidP="00FC01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Точность прогнозирования по разделу «Промышленное </w:t>
      </w:r>
      <w:r w:rsidR="00665419">
        <w:rPr>
          <w:rFonts w:ascii="Times New Roman" w:hAnsi="Times New Roman"/>
          <w:sz w:val="28"/>
          <w:szCs w:val="28"/>
        </w:rPr>
        <w:t>производство» составила 82,5</w:t>
      </w:r>
      <w:r w:rsidRPr="00FC0111">
        <w:rPr>
          <w:rFonts w:ascii="Times New Roman" w:hAnsi="Times New Roman"/>
          <w:sz w:val="28"/>
          <w:szCs w:val="28"/>
        </w:rPr>
        <w:t xml:space="preserve"> %.</w:t>
      </w:r>
    </w:p>
    <w:p w:rsidR="00FC0111" w:rsidRPr="00FC0111" w:rsidRDefault="00FC0111" w:rsidP="00FC01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>Сельское хозяйство</w:t>
      </w:r>
    </w:p>
    <w:p w:rsidR="00FC0111" w:rsidRPr="00FC0111" w:rsidRDefault="00FC0111" w:rsidP="00FC0111">
      <w:pPr>
        <w:spacing w:after="0" w:line="240" w:lineRule="auto"/>
        <w:jc w:val="center"/>
        <w:rPr>
          <w:sz w:val="28"/>
          <w:szCs w:val="28"/>
        </w:rPr>
      </w:pP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</w:t>
      </w:r>
      <w:r w:rsidRPr="00FC0111">
        <w:rPr>
          <w:rFonts w:ascii="Times New Roman" w:hAnsi="Times New Roman"/>
          <w:sz w:val="28"/>
          <w:szCs w:val="28"/>
          <w:lang w:eastAsia="ru-RU"/>
        </w:rPr>
        <w:t xml:space="preserve">Традиционно, основным направлением экономики Александровского округа – является аграрный сектор. В 2024 году </w:t>
      </w:r>
      <w:r w:rsidRPr="00FC01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площадь уборки </w:t>
      </w:r>
      <w:r w:rsidRPr="00FC0111">
        <w:rPr>
          <w:rFonts w:ascii="Times New Roman" w:hAnsi="Times New Roman"/>
          <w:sz w:val="28"/>
          <w:szCs w:val="28"/>
          <w:lang w:eastAsia="ru-RU"/>
        </w:rPr>
        <w:t xml:space="preserve">зерновых (с кукурузой и бобовыми культурами) </w:t>
      </w:r>
      <w:r w:rsidRPr="00FC01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составила</w:t>
      </w:r>
      <w:r w:rsidRPr="00FC011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100882 га, на 2632 га меньше по сравнению с 2023 годом</w:t>
      </w:r>
      <w:r w:rsidRPr="00FC0111">
        <w:rPr>
          <w:rFonts w:ascii="Times New Roman" w:hAnsi="Times New Roman"/>
          <w:sz w:val="28"/>
          <w:szCs w:val="28"/>
          <w:lang w:eastAsia="ru-RU"/>
        </w:rPr>
        <w:t>.</w:t>
      </w:r>
    </w:p>
    <w:p w:rsidR="00FC0111" w:rsidRPr="00FC0111" w:rsidRDefault="00FC0111" w:rsidP="00FC0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Валовой сбор составил 262846,8 тонн (на 36 % или на 147887,6 тонн меньше 2023 года), с урожайностью 26,1 ц/га.  В 2023 году обмолочено зерновых с кукурузой 103514 га, валовой сбор составил 410734,4 тонн с урожайностью 27,4 ц/га.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</w:t>
      </w:r>
      <w:r w:rsidRPr="00FC011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C0111">
        <w:rPr>
          <w:rFonts w:ascii="Times New Roman" w:hAnsi="Times New Roman"/>
          <w:sz w:val="28"/>
          <w:szCs w:val="28"/>
          <w:lang w:eastAsia="ru-RU"/>
        </w:rPr>
        <w:t xml:space="preserve">Объем производства продукции сельского хозяйства за 2024 год составил 4570 млн. рублей, что на 170 млн. рублей выше прогнозируемого значения (план – 4400 млн. рублей) и ниже уровня 2023 года на 340 млн. рублей.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       В результате объем продукции растениеводства составил 2640 млн. рублей, что на 110 млн. рублей выше прогнозируемого значения (план – 2530 млн. рублей), но ниже уровня 2023 на 560 млн. рублей.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       Индекс производства растениеводческой продукции в сопоставимых ценах за 2024 год составил 82,1 % (плановое значение – 86%).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Объем продукции животноводства составил 1930 млн. рублей, что на 60 млн. рублей больше от прогнозируемого значения (план – 1870 млн. рублей) и выше уровня 2023 на 220 млн. рублей (за счет роста цен на животноводческую продукцию).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Индекс производства животноводческой продукции в сопоставимых ценах за 2024 год составил 102,2 % (плановое значение105,4 –%).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C0111" w:rsidRDefault="001C1D6C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A25F564" wp14:editId="4D43DB70">
            <wp:extent cx="5391150" cy="25812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C1D6C" w:rsidRPr="00FC0111" w:rsidRDefault="001C1D6C" w:rsidP="001C1D6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2024 год хозяйствами всех форм собственности произведено 41,624 тыс. тонн молока, мяса скота и птицы в живом весе -  8,89 тыс. тонн мяса скота и птицы в живом весе, яиц – 35,2 млн. штук.</w:t>
      </w:r>
    </w:p>
    <w:p w:rsidR="001C1D6C" w:rsidRPr="00FC0111" w:rsidRDefault="001C1D6C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9E7AF6" wp14:editId="1E986F72">
            <wp:extent cx="5581650" cy="25812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  <w:lang w:eastAsia="ru-RU"/>
        </w:rPr>
      </w:pPr>
      <w:r w:rsidRPr="00FC0111">
        <w:rPr>
          <w:rFonts w:ascii="Times New Roman" w:hAnsi="Times New Roman"/>
          <w:iCs/>
          <w:sz w:val="28"/>
          <w:szCs w:val="28"/>
          <w:lang w:eastAsia="ru-RU"/>
        </w:rPr>
        <w:t xml:space="preserve">К отраслевым рискам относятся: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снижение урожайности товарных и кормовых культур;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увеличение цен на энергоносители, </w:t>
      </w:r>
      <w:proofErr w:type="spellStart"/>
      <w:r w:rsidRPr="00FC0111">
        <w:rPr>
          <w:rFonts w:ascii="Times New Roman" w:hAnsi="Times New Roman"/>
          <w:sz w:val="28"/>
          <w:szCs w:val="28"/>
          <w:lang w:eastAsia="ru-RU"/>
        </w:rPr>
        <w:t>энергооборудование</w:t>
      </w:r>
      <w:proofErr w:type="spellEnd"/>
      <w:r w:rsidRPr="00FC0111">
        <w:rPr>
          <w:rFonts w:ascii="Times New Roman" w:hAnsi="Times New Roman"/>
          <w:sz w:val="28"/>
          <w:szCs w:val="28"/>
          <w:lang w:eastAsia="ru-RU"/>
        </w:rPr>
        <w:t xml:space="preserve">, материалы, сырье и затраты;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введение ограничений на импорт и экспорт сельскохозяйственной продукции; </w:t>
      </w:r>
    </w:p>
    <w:p w:rsidR="00FC0111" w:rsidRPr="00FC0111" w:rsidRDefault="00FC0111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экологические риски (изменение климатических условий, ухудшение почвенного плодородия). </w:t>
      </w:r>
    </w:p>
    <w:p w:rsidR="00FC0111" w:rsidRPr="00FC0111" w:rsidRDefault="00FC0111" w:rsidP="00FC0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>Точность прогнозирования по разделу «Се</w:t>
      </w:r>
      <w:r w:rsidR="00665419">
        <w:rPr>
          <w:rFonts w:ascii="Times New Roman" w:hAnsi="Times New Roman"/>
          <w:sz w:val="28"/>
          <w:szCs w:val="28"/>
        </w:rPr>
        <w:t>льское хозяйство» составила 96,6</w:t>
      </w:r>
      <w:r w:rsidRPr="00FC0111">
        <w:rPr>
          <w:rFonts w:ascii="Times New Roman" w:hAnsi="Times New Roman"/>
          <w:sz w:val="28"/>
          <w:szCs w:val="28"/>
        </w:rPr>
        <w:t xml:space="preserve"> %.</w:t>
      </w:r>
    </w:p>
    <w:p w:rsidR="00781985" w:rsidRDefault="00781985" w:rsidP="00781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111" w:rsidRPr="00665419" w:rsidRDefault="00781985" w:rsidP="007819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65419">
        <w:rPr>
          <w:rFonts w:ascii="Times New Roman" w:hAnsi="Times New Roman"/>
          <w:sz w:val="28"/>
          <w:szCs w:val="28"/>
        </w:rPr>
        <w:t xml:space="preserve">Транспорт и связь. </w:t>
      </w:r>
    </w:p>
    <w:p w:rsidR="00DC0A49" w:rsidRPr="00781985" w:rsidRDefault="00DC0A49" w:rsidP="00781985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781985" w:rsidRPr="00DC0A49" w:rsidRDefault="00DC0A49" w:rsidP="00DC0A49">
      <w:pPr>
        <w:tabs>
          <w:tab w:val="left" w:pos="4125"/>
        </w:tabs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C0A49">
        <w:rPr>
          <w:rFonts w:ascii="Times New Roman" w:hAnsi="Times New Roman"/>
          <w:sz w:val="28"/>
          <w:szCs w:val="28"/>
        </w:rPr>
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</w:r>
      <w:r>
        <w:rPr>
          <w:rFonts w:ascii="Times New Roman" w:hAnsi="Times New Roman"/>
          <w:sz w:val="28"/>
          <w:szCs w:val="28"/>
        </w:rPr>
        <w:t xml:space="preserve"> 593,71 км., что на уровне планового значения. </w:t>
      </w:r>
      <w:r w:rsidRPr="00DC0A49">
        <w:rPr>
          <w:rFonts w:ascii="Times New Roman" w:hAnsi="Times New Roman"/>
          <w:sz w:val="28"/>
          <w:szCs w:val="28"/>
        </w:rPr>
        <w:t>Удельный вес автомобильных дорог с твердым покрытием в общей протяженности автомобильных дорог общего пользования</w:t>
      </w:r>
      <w:r>
        <w:rPr>
          <w:rFonts w:ascii="Times New Roman" w:hAnsi="Times New Roman"/>
          <w:sz w:val="28"/>
          <w:szCs w:val="28"/>
        </w:rPr>
        <w:t xml:space="preserve"> 89,7%</w:t>
      </w:r>
      <w:r w:rsidR="00DF2A9F">
        <w:rPr>
          <w:rFonts w:ascii="Times New Roman" w:hAnsi="Times New Roman"/>
          <w:sz w:val="28"/>
          <w:szCs w:val="28"/>
        </w:rPr>
        <w:t>.</w:t>
      </w:r>
    </w:p>
    <w:p w:rsidR="00781985" w:rsidRPr="00FC0111" w:rsidRDefault="00781985" w:rsidP="00DC0A4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1985" w:rsidRDefault="00CA5F89" w:rsidP="00CA5F89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Рынок товаров и услуг. </w:t>
      </w:r>
    </w:p>
    <w:p w:rsidR="00CA5F89" w:rsidRPr="00FC0111" w:rsidRDefault="00CA5F89" w:rsidP="00CA5F89">
      <w:pPr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781985" w:rsidRPr="00FC0111" w:rsidRDefault="00781985" w:rsidP="007819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0111">
        <w:rPr>
          <w:rFonts w:ascii="Times New Roman" w:hAnsi="Times New Roman"/>
          <w:sz w:val="28"/>
          <w:szCs w:val="28"/>
          <w:shd w:val="clear" w:color="auto" w:fill="FFFFFF"/>
        </w:rPr>
        <w:t>По состоянию на начало 2025 года на территории Александровского муниципального округа осуществляют свою деятельность 309 объектов потребительского рынка, из них:</w:t>
      </w:r>
    </w:p>
    <w:p w:rsidR="00781985" w:rsidRPr="00FC0111" w:rsidRDefault="00781985" w:rsidP="007819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0111">
        <w:rPr>
          <w:rFonts w:ascii="Times New Roman" w:hAnsi="Times New Roman"/>
          <w:sz w:val="28"/>
          <w:szCs w:val="28"/>
          <w:shd w:val="clear" w:color="auto" w:fill="FFFFFF"/>
        </w:rPr>
        <w:t xml:space="preserve">221 предприятие розничной торговли с общей торговой площадью 26 тыс. 232 кв. м; </w:t>
      </w:r>
    </w:p>
    <w:p w:rsidR="00781985" w:rsidRPr="00FC0111" w:rsidRDefault="00781985" w:rsidP="007819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0111">
        <w:rPr>
          <w:rFonts w:ascii="Times New Roman" w:hAnsi="Times New Roman"/>
          <w:sz w:val="28"/>
          <w:szCs w:val="28"/>
          <w:shd w:val="clear" w:color="auto" w:fill="FFFFFF"/>
        </w:rPr>
        <w:t>18 предприятий общественного питания;</w:t>
      </w:r>
    </w:p>
    <w:p w:rsidR="00781985" w:rsidRPr="00FC0111" w:rsidRDefault="00781985" w:rsidP="007819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0111">
        <w:rPr>
          <w:rFonts w:ascii="Times New Roman" w:hAnsi="Times New Roman"/>
          <w:sz w:val="28"/>
          <w:szCs w:val="28"/>
          <w:shd w:val="clear" w:color="auto" w:fill="FFFFFF"/>
        </w:rPr>
        <w:t>1 предприятие оптовой торговли;</w:t>
      </w:r>
    </w:p>
    <w:p w:rsidR="00781985" w:rsidRPr="00FC0111" w:rsidRDefault="00781985" w:rsidP="007819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0111">
        <w:rPr>
          <w:rFonts w:ascii="Times New Roman" w:hAnsi="Times New Roman"/>
          <w:sz w:val="28"/>
          <w:szCs w:val="28"/>
          <w:shd w:val="clear" w:color="auto" w:fill="FFFFFF"/>
        </w:rPr>
        <w:t>5 крупных объектов торговли, смешанной группы товаров;</w:t>
      </w:r>
    </w:p>
    <w:p w:rsidR="00781985" w:rsidRPr="00FC0111" w:rsidRDefault="00781985" w:rsidP="0078198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C0111">
        <w:rPr>
          <w:rFonts w:ascii="Times New Roman" w:hAnsi="Times New Roman"/>
          <w:sz w:val="28"/>
          <w:szCs w:val="28"/>
          <w:shd w:val="clear" w:color="auto" w:fill="FFFFFF"/>
        </w:rPr>
        <w:t>1 сельскохозяйственный рынок;</w:t>
      </w:r>
    </w:p>
    <w:p w:rsidR="00781985" w:rsidRPr="00FC0111" w:rsidRDefault="00781985" w:rsidP="0078198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C011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63 объекта нестационарной торговли.</w:t>
      </w:r>
    </w:p>
    <w:p w:rsidR="00781985" w:rsidRPr="00FC0111" w:rsidRDefault="00781985" w:rsidP="0078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      Оборот розничной торговли крупных и средних предприятий всех видов экономической деятельности сложился в сумме 1582 млн рублей, что выше </w:t>
      </w:r>
      <w:r w:rsidRPr="00FC011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уровня 2023 года на 34 % и на 20% запланированного значения целевого показателя. </w:t>
      </w:r>
    </w:p>
    <w:p w:rsidR="00781985" w:rsidRPr="00FC0111" w:rsidRDefault="00781985" w:rsidP="0078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     Оборот общественного питания крупных и средних предприятий всех видов экономической деятельности составил 17,4 млн рублей. Темп роста к уровню 2023г. составил 72%.</w:t>
      </w:r>
    </w:p>
    <w:p w:rsidR="00781985" w:rsidRPr="00FC0111" w:rsidRDefault="00781985" w:rsidP="0078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    Объем платных услуг населению составил 808,35 млн. рублей (плановое значение 693,56 млн. рублей). Темп роста к уровню 2023г. 112,6%.</w:t>
      </w:r>
    </w:p>
    <w:p w:rsidR="00781985" w:rsidRPr="00FC0111" w:rsidRDefault="00781985" w:rsidP="0078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    К отраслевым рискам относятся: </w:t>
      </w:r>
    </w:p>
    <w:p w:rsidR="00781985" w:rsidRPr="00FC0111" w:rsidRDefault="00781985" w:rsidP="007819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наличие инфляционных процессов. </w:t>
      </w:r>
    </w:p>
    <w:p w:rsidR="00781985" w:rsidRDefault="00781985" w:rsidP="0078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     Точность прогнозирования по разделу «Торговля и услу</w:t>
      </w:r>
      <w:r>
        <w:rPr>
          <w:rFonts w:ascii="Times New Roman" w:hAnsi="Times New Roman"/>
          <w:sz w:val="28"/>
          <w:szCs w:val="28"/>
          <w:lang w:eastAsia="ru-RU"/>
        </w:rPr>
        <w:t>ги населению» составила 87,3 %.</w:t>
      </w:r>
    </w:p>
    <w:p w:rsidR="00781985" w:rsidRPr="00781985" w:rsidRDefault="00781985" w:rsidP="0078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0111" w:rsidRPr="00FC0111" w:rsidRDefault="00CA5F89" w:rsidP="00FC01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Инвестиции и строительство. </w:t>
      </w:r>
    </w:p>
    <w:p w:rsidR="00781985" w:rsidRPr="00507DED" w:rsidRDefault="00FC0111" w:rsidP="00507DE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0111">
        <w:rPr>
          <w:sz w:val="28"/>
        </w:rPr>
        <w:t xml:space="preserve">           </w:t>
      </w:r>
      <w:r w:rsidRPr="00FC0111">
        <w:rPr>
          <w:rFonts w:ascii="Times New Roman" w:hAnsi="Times New Roman"/>
          <w:sz w:val="28"/>
          <w:szCs w:val="28"/>
        </w:rPr>
        <w:t>С начала 2024 года населением округа введено 5956 кв. м жилья, что на 38,7% выше данного показателя</w:t>
      </w:r>
      <w:r w:rsidR="00507DED">
        <w:rPr>
          <w:rFonts w:ascii="Times New Roman" w:hAnsi="Times New Roman"/>
          <w:sz w:val="28"/>
          <w:szCs w:val="28"/>
        </w:rPr>
        <w:t xml:space="preserve"> в 2023 году (план 5400 кв. м).</w:t>
      </w:r>
    </w:p>
    <w:p w:rsidR="00781985" w:rsidRPr="00FC0111" w:rsidRDefault="00781985" w:rsidP="0078198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Объём инвестиций в основной капитал, направленный на развитие экономики и социальной сферы округа, по полному кругу предприятий составил </w:t>
      </w:r>
      <w:r w:rsidRPr="00FC0111">
        <w:rPr>
          <w:rFonts w:ascii="Times New Roman" w:hAnsi="Times New Roman"/>
          <w:bCs/>
          <w:sz w:val="28"/>
          <w:szCs w:val="28"/>
        </w:rPr>
        <w:t xml:space="preserve">2987,4 </w:t>
      </w:r>
      <w:r w:rsidRPr="00FC0111">
        <w:rPr>
          <w:rFonts w:ascii="Times New Roman" w:hAnsi="Times New Roman"/>
          <w:sz w:val="28"/>
          <w:szCs w:val="28"/>
        </w:rPr>
        <w:t>млн. рублей, что на 5,2% выше данного показателя 2023 года.</w:t>
      </w:r>
    </w:p>
    <w:p w:rsidR="00781985" w:rsidRPr="00FC0111" w:rsidRDefault="00781985" w:rsidP="00781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     За 2024 год крупными и средними предприятиями за счет всех источников финансирования (без субъектов малого предпринимательства) направлено 213,4 млн. рублей инвестиций в основной капитал, что выше уровня 2023 года в 1,9 раза и ниже планируемых значений на 6,7 млн. рублей (планируемое значение- 220,1 млн. рублей). Индекс физического объема в сопоставимых ценах составил 208 %.</w:t>
      </w:r>
    </w:p>
    <w:p w:rsidR="00507DED" w:rsidRDefault="00781985" w:rsidP="00507DED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C0111">
        <w:rPr>
          <w:rFonts w:ascii="Times New Roman" w:hAnsi="Times New Roman"/>
          <w:sz w:val="28"/>
        </w:rPr>
        <w:t>Наиболее ёмкий объем инвестиций показали предприятия сельского хозяйства, 1,85 млрд. руб. Самыми крупными инвесторами являются такие предприятия как ООО «</w:t>
      </w:r>
      <w:proofErr w:type="spellStart"/>
      <w:r w:rsidRPr="00FC0111">
        <w:rPr>
          <w:rFonts w:ascii="Times New Roman" w:hAnsi="Times New Roman"/>
          <w:sz w:val="28"/>
        </w:rPr>
        <w:t>Агроальянс</w:t>
      </w:r>
      <w:proofErr w:type="spellEnd"/>
      <w:r w:rsidRPr="00FC0111">
        <w:rPr>
          <w:rFonts w:ascii="Times New Roman" w:hAnsi="Times New Roman"/>
          <w:sz w:val="28"/>
        </w:rPr>
        <w:t xml:space="preserve"> Инвест», ООО "</w:t>
      </w:r>
      <w:proofErr w:type="spellStart"/>
      <w:r w:rsidRPr="00FC0111">
        <w:rPr>
          <w:rFonts w:ascii="Times New Roman" w:hAnsi="Times New Roman"/>
          <w:sz w:val="28"/>
        </w:rPr>
        <w:t>Агроальянс</w:t>
      </w:r>
      <w:proofErr w:type="spellEnd"/>
      <w:r w:rsidRPr="00FC0111">
        <w:rPr>
          <w:rFonts w:ascii="Times New Roman" w:hAnsi="Times New Roman"/>
          <w:sz w:val="28"/>
        </w:rPr>
        <w:t>" филиал Калиновский, ООО СХП «Колос», ООО «</w:t>
      </w:r>
      <w:proofErr w:type="spellStart"/>
      <w:r w:rsidRPr="00FC0111">
        <w:rPr>
          <w:rFonts w:ascii="Times New Roman" w:hAnsi="Times New Roman"/>
          <w:sz w:val="28"/>
        </w:rPr>
        <w:t>Буйволиный</w:t>
      </w:r>
      <w:proofErr w:type="spellEnd"/>
      <w:r w:rsidRPr="00FC0111">
        <w:rPr>
          <w:rFonts w:ascii="Times New Roman" w:hAnsi="Times New Roman"/>
          <w:sz w:val="28"/>
        </w:rPr>
        <w:t xml:space="preserve"> молоч</w:t>
      </w:r>
      <w:r w:rsidR="00507DED">
        <w:rPr>
          <w:rFonts w:ascii="Times New Roman" w:hAnsi="Times New Roman"/>
          <w:sz w:val="28"/>
        </w:rPr>
        <w:t>ный комплекс «Александровский».</w:t>
      </w:r>
    </w:p>
    <w:p w:rsidR="00781985" w:rsidRPr="00507DED" w:rsidRDefault="00507DED" w:rsidP="00507DE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781985" w:rsidRPr="00FC0111">
        <w:rPr>
          <w:rFonts w:ascii="Times New Roman" w:hAnsi="Times New Roman"/>
          <w:sz w:val="28"/>
          <w:szCs w:val="28"/>
        </w:rPr>
        <w:t>Увеличение произошло за счет роста инвестиций субъектов МСП в торговлю с 132 млн. руб. до 159,8 млн. руб., в предприятия общественного питания и сферы услуг - с 129,6 млн руб. до 129,6 млн. руб., строительства - с 132 млн руб. до 160 млн. руб.</w:t>
      </w:r>
    </w:p>
    <w:p w:rsidR="00781985" w:rsidRPr="00FC0111" w:rsidRDefault="00507DED" w:rsidP="00507DE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781985" w:rsidRPr="00FC0111">
        <w:rPr>
          <w:rFonts w:ascii="Times New Roman" w:hAnsi="Times New Roman"/>
          <w:sz w:val="28"/>
          <w:szCs w:val="28"/>
          <w:lang w:eastAsia="ru-RU"/>
        </w:rPr>
        <w:t xml:space="preserve">К отраслевым рискам относятся: </w:t>
      </w:r>
    </w:p>
    <w:p w:rsidR="00781985" w:rsidRPr="00FC0111" w:rsidRDefault="00507DED" w:rsidP="008A069D">
      <w:pPr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781985" w:rsidRPr="00FC0111">
        <w:rPr>
          <w:rFonts w:ascii="Times New Roman" w:hAnsi="Times New Roman"/>
          <w:sz w:val="28"/>
          <w:szCs w:val="28"/>
          <w:lang w:eastAsia="ru-RU"/>
        </w:rPr>
        <w:t>недостаточная инвестиционная активность;</w:t>
      </w:r>
    </w:p>
    <w:p w:rsidR="00FC0111" w:rsidRPr="00FC0111" w:rsidRDefault="00507DED" w:rsidP="008A069D">
      <w:pPr>
        <w:spacing w:after="0"/>
        <w:ind w:hanging="426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</w:t>
      </w:r>
      <w:r w:rsidR="00FC0111" w:rsidRPr="00FC0111">
        <w:rPr>
          <w:rFonts w:ascii="Times New Roman" w:hAnsi="Times New Roman"/>
          <w:sz w:val="28"/>
        </w:rPr>
        <w:t>инфляционные риски;</w:t>
      </w:r>
    </w:p>
    <w:p w:rsidR="00FC0111" w:rsidRPr="00FC0111" w:rsidRDefault="008A069D" w:rsidP="008A069D">
      <w:pPr>
        <w:spacing w:after="0"/>
        <w:ind w:hanging="426"/>
        <w:rPr>
          <w:rFonts w:ascii="Times New Roman" w:hAnsi="Times New Roman"/>
        </w:rPr>
      </w:pPr>
      <w:r w:rsidRPr="008A069D">
        <w:rPr>
          <w:rFonts w:ascii="Times New Roman" w:hAnsi="Times New Roman"/>
          <w:sz w:val="28"/>
        </w:rPr>
        <w:t xml:space="preserve">      </w:t>
      </w:r>
      <w:r w:rsidR="00FC0111" w:rsidRPr="00FC0111">
        <w:rPr>
          <w:rFonts w:ascii="Times New Roman" w:hAnsi="Times New Roman"/>
          <w:sz w:val="28"/>
        </w:rPr>
        <w:t>снижение потребительского спроса на жилье, вызванного сокращением доходов населения;</w:t>
      </w:r>
    </w:p>
    <w:p w:rsidR="00FC0111" w:rsidRPr="00FC0111" w:rsidRDefault="008A069D" w:rsidP="008A069D">
      <w:pPr>
        <w:spacing w:after="0"/>
        <w:ind w:hanging="426"/>
        <w:rPr>
          <w:rFonts w:ascii="Times New Roman" w:hAnsi="Times New Roman"/>
        </w:rPr>
      </w:pPr>
      <w:r w:rsidRPr="008A069D">
        <w:rPr>
          <w:rFonts w:ascii="Times New Roman" w:hAnsi="Times New Roman"/>
          <w:sz w:val="28"/>
        </w:rPr>
        <w:t xml:space="preserve">      </w:t>
      </w:r>
      <w:r w:rsidR="00FC0111" w:rsidRPr="00FC0111">
        <w:rPr>
          <w:rFonts w:ascii="Times New Roman" w:hAnsi="Times New Roman"/>
          <w:sz w:val="28"/>
        </w:rPr>
        <w:t>рост цен на ряд строительных материалов, оказывающий влияние на увеличение стоимости жилья;</w:t>
      </w:r>
    </w:p>
    <w:p w:rsidR="00FC0111" w:rsidRPr="00FC0111" w:rsidRDefault="00FC0111" w:rsidP="00FC01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>Точность прогнозирован</w:t>
      </w:r>
      <w:r w:rsidR="00CA5F89">
        <w:rPr>
          <w:rFonts w:ascii="Times New Roman" w:hAnsi="Times New Roman"/>
          <w:sz w:val="28"/>
          <w:szCs w:val="28"/>
        </w:rPr>
        <w:t>ия по разделу «Строительство» 95,2</w:t>
      </w:r>
      <w:r w:rsidRPr="00FC0111">
        <w:rPr>
          <w:rFonts w:ascii="Times New Roman" w:hAnsi="Times New Roman"/>
          <w:sz w:val="28"/>
          <w:szCs w:val="28"/>
        </w:rPr>
        <w:t xml:space="preserve"> %.</w:t>
      </w:r>
    </w:p>
    <w:p w:rsidR="00FC0111" w:rsidRDefault="00FC0111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DED" w:rsidRPr="00FC0111" w:rsidRDefault="00507DED" w:rsidP="00507DED">
      <w:pPr>
        <w:spacing w:line="240" w:lineRule="auto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                                        Консолидированный бюджет</w:t>
      </w:r>
    </w:p>
    <w:p w:rsidR="00507DED" w:rsidRPr="00FC0111" w:rsidRDefault="00507DED" w:rsidP="00507D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ожидаемого исполнения показателей по доходам и расходам бюджета Александровского муниципального округа Ставропольского края </w:t>
      </w: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(далее – местный бюджет) за 2024 год была произведена с учетом утвержденных на текущий финансовый год бюджетных ассигнований по расходам и кассового плана по доходам местного бюджета, с изменениями, внесенными по состоянию на 01.10.2024 г., а также с учетом ожидаемого исполнения за 2024 год.</w:t>
      </w:r>
    </w:p>
    <w:p w:rsidR="00507DED" w:rsidRPr="00FC0111" w:rsidRDefault="00507DED" w:rsidP="00507D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Оценка ожидаемого исполнения местного бюджета за 2024 год в прогнозе по доходам составила 1 884 млн. рублей, по расходам – 1 915 млн. рублей, дефицит консолидированного бюджета составлял – 31 млн. рублей, что обусловлено наличием остатков средств, образовавш</w:t>
      </w:r>
      <w:r w:rsidR="00665419">
        <w:rPr>
          <w:rFonts w:ascii="Times New Roman" w:eastAsia="Times New Roman" w:hAnsi="Times New Roman"/>
          <w:sz w:val="28"/>
          <w:szCs w:val="28"/>
          <w:lang w:eastAsia="ru-RU"/>
        </w:rPr>
        <w:t>ихся по состоянию на 01.01.2024</w:t>
      </w: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г., которые уточнялись в расходной части местного бюджета в течение 2024 года.</w:t>
      </w:r>
    </w:p>
    <w:p w:rsidR="00507DED" w:rsidRPr="00FC0111" w:rsidRDefault="00507DED" w:rsidP="00507D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Фактическое поступление по доходам в местный бюджет по итогам 2024 года составило 1 880,00 млн. рублей. Общее снижение к показателю оценки составило 4,00 млн. рублей. При этом по налоговым и неналоговым доходам фактическое поступление составило 425,00 млн. рублей (рост к оценке – 39,00 млн. рублей), что обусловлено, прежде всего, ростом поступлений по налогу на доходы физических лиц в результате увеличения фонда оплаты труда и мероприятий по урегулированию задолженности, проводимым с физическими лицами округа. Фактическое поступление по безвозмездным средствам составило 1 455,00 (снижение к показателю оценки – 43,00 млн. рублей). Снижение поступлений в сравнении с оценкой обусловлено снижением поступления субсидий из краевого бюджета, в соответствии с законом о бюджете Ставропольского края на 2024 год и плановый период 2025 и 2026 годов.</w:t>
      </w:r>
    </w:p>
    <w:p w:rsidR="00507DED" w:rsidRPr="00FC0111" w:rsidRDefault="00507DED" w:rsidP="00507D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Фактический объем расходов местного бюджета за 2024 год составил 1 855,00 млн. рублей. Снижение к показателю оценки составило 60,00 млн. рублей, что обусловлено уменьшением объема безвозмездных поступлений (в том числе за счет экономии в результате торгов). Кроме того, экономия собственных средств местного бюджета по расходам составила – 16,00 млн. рублей.</w:t>
      </w:r>
    </w:p>
    <w:p w:rsidR="00507DED" w:rsidRPr="00FC0111" w:rsidRDefault="00507DED" w:rsidP="00507D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По итогам 2024 года фактический объем профицита местного бюджета составил 25,00 млн. рублей.</w:t>
      </w:r>
    </w:p>
    <w:p w:rsidR="00507DED" w:rsidRPr="00FC0111" w:rsidRDefault="00507DED" w:rsidP="00507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общем объеме расходов местного бюджета расходы на социально- культурную сферу составили 68 процентов, что соответствует показателю оценки на 2024 год. </w:t>
      </w:r>
    </w:p>
    <w:p w:rsidR="00507DED" w:rsidRPr="00FC0111" w:rsidRDefault="00507DED" w:rsidP="00507DE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Фактического объема муниципального долга за 2024 год нет. </w:t>
      </w:r>
    </w:p>
    <w:p w:rsidR="00507DED" w:rsidRPr="00507DED" w:rsidRDefault="00507DED" w:rsidP="00507D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>Точность прогнозирования по разделу «Консолидиров</w:t>
      </w:r>
      <w:r>
        <w:rPr>
          <w:rFonts w:ascii="Times New Roman" w:hAnsi="Times New Roman"/>
          <w:sz w:val="28"/>
          <w:szCs w:val="28"/>
        </w:rPr>
        <w:t>анный бюджет» составила 83,9 %.</w:t>
      </w:r>
    </w:p>
    <w:p w:rsidR="00507DED" w:rsidRPr="00FC0111" w:rsidRDefault="00507DED" w:rsidP="00507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Труд и занятость.</w:t>
      </w:r>
    </w:p>
    <w:p w:rsidR="00507DED" w:rsidRPr="00FC0111" w:rsidRDefault="00507DED" w:rsidP="00507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DED" w:rsidRPr="00FC0111" w:rsidRDefault="00507DED" w:rsidP="00507D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 xml:space="preserve">По данным Управления Росстата по </w:t>
      </w:r>
      <w:proofErr w:type="gramStart"/>
      <w:r w:rsidRPr="00FC0111">
        <w:rPr>
          <w:rFonts w:ascii="Times New Roman" w:hAnsi="Times New Roman"/>
          <w:sz w:val="28"/>
          <w:szCs w:val="28"/>
          <w:lang w:eastAsia="ru-RU"/>
        </w:rPr>
        <w:t>Северо-Кавказскому</w:t>
      </w:r>
      <w:proofErr w:type="gramEnd"/>
      <w:r w:rsidRPr="00FC0111">
        <w:rPr>
          <w:rFonts w:ascii="Times New Roman" w:hAnsi="Times New Roman"/>
          <w:sz w:val="28"/>
          <w:szCs w:val="28"/>
          <w:lang w:eastAsia="ru-RU"/>
        </w:rPr>
        <w:t xml:space="preserve"> федеральному округу номинальная начисленная заработная плата в округе за январь-декабрь 2024 года составила 44,392 тыс. рублей и увеличилась по отношению к 2023 году на 13,1 % (в 2023 году – 39,258 тыс. рублей), и выше планового значения на 0,802 тыс. рублей (плановое значение – 43,59 тыс. рублей). Фонд начисленной заработной платы всех работников в 2024 году составил 2198,9 млн. рублей и увеличился по сравнению с 2023 годом на 12,5 % (1960,0 млн. </w:t>
      </w:r>
      <w:r w:rsidRPr="00FC0111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рублей), и выше планового значения на 11,4% (плановое значение 1948,06 млн. рублей). </w:t>
      </w:r>
    </w:p>
    <w:p w:rsidR="00507DED" w:rsidRPr="00FC0111" w:rsidRDefault="00200BE0" w:rsidP="00507D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00BE0">
        <w:rPr>
          <w:rFonts w:ascii="Times New Roman" w:hAnsi="Times New Roman"/>
          <w:sz w:val="28"/>
          <w:szCs w:val="28"/>
        </w:rPr>
        <w:t>Численность экономически активного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507DED" w:rsidRPr="00FC0111">
        <w:rPr>
          <w:rFonts w:ascii="Times New Roman" w:hAnsi="Times New Roman"/>
          <w:sz w:val="28"/>
          <w:szCs w:val="28"/>
        </w:rPr>
        <w:t xml:space="preserve">составила </w:t>
      </w:r>
      <w:r>
        <w:rPr>
          <w:rFonts w:ascii="Times New Roman" w:hAnsi="Times New Roman"/>
          <w:sz w:val="28"/>
          <w:szCs w:val="28"/>
        </w:rPr>
        <w:t>21006 человек</w:t>
      </w:r>
      <w:r w:rsidR="00507DED" w:rsidRPr="00FC0111">
        <w:rPr>
          <w:rFonts w:ascii="Times New Roman" w:hAnsi="Times New Roman"/>
          <w:sz w:val="28"/>
          <w:szCs w:val="28"/>
        </w:rPr>
        <w:t xml:space="preserve"> (плановое значение </w:t>
      </w:r>
      <w:r>
        <w:rPr>
          <w:rFonts w:ascii="Times New Roman" w:hAnsi="Times New Roman"/>
          <w:sz w:val="28"/>
          <w:szCs w:val="28"/>
          <w:lang w:eastAsia="ru-RU"/>
        </w:rPr>
        <w:t>21350</w:t>
      </w:r>
      <w:r w:rsidR="00507DED" w:rsidRPr="00FC0111">
        <w:rPr>
          <w:rFonts w:ascii="Times New Roman" w:hAnsi="Times New Roman"/>
          <w:sz w:val="28"/>
          <w:szCs w:val="28"/>
          <w:lang w:eastAsia="ru-RU"/>
        </w:rPr>
        <w:t>).</w:t>
      </w:r>
      <w:bookmarkStart w:id="0" w:name="_GoBack"/>
      <w:bookmarkEnd w:id="0"/>
    </w:p>
    <w:p w:rsidR="00507DED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 начала года в Удаленный офис села Александровского ТЦЗН Александровского, Андроповского, Минераловодского и Новоселицкого муниципальных округов (далее - центр занятости населения) в поисках работы обратились 472 чел.</w:t>
      </w:r>
    </w:p>
    <w:p w:rsidR="00507DED" w:rsidRPr="00FC0111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07DED" w:rsidRDefault="00507DED" w:rsidP="00507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88B76F" wp14:editId="6CF1F6F0">
            <wp:extent cx="5581650" cy="35337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07DED" w:rsidRPr="00FC0111" w:rsidRDefault="00507DED" w:rsidP="00507D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7DED" w:rsidRPr="00FC0111" w:rsidRDefault="00507DED" w:rsidP="00507DED">
      <w:pPr>
        <w:tabs>
          <w:tab w:val="left" w:pos="9214"/>
        </w:tabs>
        <w:spacing w:after="0" w:line="240" w:lineRule="auto"/>
        <w:ind w:right="-9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Трудоустроено 80,7 % от всех граждан, обратившихся в поисках работы или 381 чел. (контрольный показатель на 2024 год - 65 %). Доля трудоустроенных инвалидов составила 72,7 % от общего числа обратившихся инвалидов, или 24 чел. (контрольный показатель на год составляет 50 %).</w:t>
      </w:r>
    </w:p>
    <w:p w:rsidR="00507DED" w:rsidRPr="00FC0111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общественных работах приняли участие 17 чел., что составило 100,0 % от годового доведенного контрольного значения.</w:t>
      </w:r>
    </w:p>
    <w:p w:rsidR="00507DED" w:rsidRPr="00FC0111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временные работы было трудоустроено 5 безработных граждан, испытывающих трудности в поиске работы, что составило 100,0 % от годового доведенного контрольного значения.</w:t>
      </w:r>
    </w:p>
    <w:p w:rsidR="00507DED" w:rsidRPr="00FC0111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Организовано временное трудоустройство 110 несовершеннолетних граждан   в свободное от учебы время, что составило 100,0 % от годового контрольного показателя на год (110 чел.).   </w:t>
      </w:r>
    </w:p>
    <w:p w:rsidR="00507DED" w:rsidRPr="00FC0111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профессиональное обучение центром занятости населения были направлены 15 безработных («основы предпринимательской деятельности»), что составило 100,0 % от планового контрольного показателя. </w:t>
      </w:r>
    </w:p>
    <w:p w:rsidR="00507DED" w:rsidRPr="00FC0111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    Социальную адаптацию получили 81 безработный гражданин, доля безработных граждан, получивших государственную услугу по социальной адаптации в численности зарегистрированных в отчетном периоде безработных граждан составила 29,7 % (контрольный показатель на 2024 год - 15 %).  </w:t>
      </w:r>
    </w:p>
    <w:p w:rsidR="00507DED" w:rsidRPr="00FC0111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Психологическую поддержку получили 82 безработных гражданина, доля безработных граждан, получивших государственную услугу по психологической поддержке в численности зарегистрированных в отчетном периоде безработных граждан составила 30,8 % (контрольный показатель на 2024 год - 15 %). </w:t>
      </w:r>
    </w:p>
    <w:p w:rsidR="00507DED" w:rsidRPr="00FC0111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Профессиональную ориентацию получили 416 чел., доля граждан, получивших государственную услугу по профессиональной ориентации, в численности граждан, обратившихся в целях поиска подходящей работы, в отчетном периоде составила 88,1 % (контрольный показатель на 2024 год - 60%).</w:t>
      </w:r>
    </w:p>
    <w:p w:rsidR="00507DED" w:rsidRPr="00FC0111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    За отчетный период работодателями было подано 2187 заявки на свободные рабочие места, или 145,8 % от годового доведенного контрольного значения. </w:t>
      </w:r>
    </w:p>
    <w:p w:rsidR="00507DED" w:rsidRPr="00FC0111" w:rsidRDefault="00507DED" w:rsidP="00507DED">
      <w:pPr>
        <w:tabs>
          <w:tab w:val="left" w:pos="921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      Уровень зарегистрированной безработицы к экономически-активному населению составил 0,4 % </w:t>
      </w:r>
      <w:r w:rsidRPr="00FC0111">
        <w:rPr>
          <w:rFonts w:ascii="Times New Roman" w:hAnsi="Times New Roman"/>
          <w:sz w:val="28"/>
          <w:szCs w:val="28"/>
        </w:rPr>
        <w:t xml:space="preserve">(плановое значение </w:t>
      </w:r>
      <w:r w:rsidRPr="00FC0111">
        <w:rPr>
          <w:rFonts w:ascii="Times New Roman" w:hAnsi="Times New Roman"/>
          <w:sz w:val="28"/>
          <w:szCs w:val="28"/>
          <w:lang w:eastAsia="ru-RU"/>
        </w:rPr>
        <w:t>0,7</w:t>
      </w:r>
      <w:r w:rsidRPr="00FC0111">
        <w:rPr>
          <w:rFonts w:ascii="Times New Roman" w:hAnsi="Times New Roman"/>
          <w:sz w:val="28"/>
          <w:szCs w:val="28"/>
        </w:rPr>
        <w:t>%)</w:t>
      </w: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 xml:space="preserve">. Численность зарегистрированных безработных на 01 января 2025 года составила 73 чел. </w:t>
      </w:r>
      <w:r w:rsidRPr="00FC0111">
        <w:rPr>
          <w:rFonts w:ascii="Times New Roman" w:hAnsi="Times New Roman"/>
          <w:sz w:val="28"/>
          <w:szCs w:val="28"/>
        </w:rPr>
        <w:t xml:space="preserve">(плановое значение </w:t>
      </w:r>
      <w:r w:rsidRPr="00FC0111">
        <w:rPr>
          <w:rFonts w:ascii="Times New Roman" w:hAnsi="Times New Roman"/>
          <w:sz w:val="28"/>
          <w:szCs w:val="28"/>
          <w:lang w:eastAsia="ru-RU"/>
        </w:rPr>
        <w:t>200</w:t>
      </w:r>
      <w:r w:rsidRPr="00FC0111">
        <w:rPr>
          <w:rFonts w:ascii="Times New Roman" w:hAnsi="Times New Roman"/>
          <w:sz w:val="28"/>
          <w:szCs w:val="28"/>
        </w:rPr>
        <w:t xml:space="preserve"> чел.)</w:t>
      </w: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07DED" w:rsidRPr="00FC0111" w:rsidRDefault="00507DED" w:rsidP="008A0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>К отраслевым рискам относятся:</w:t>
      </w:r>
    </w:p>
    <w:p w:rsidR="00507DED" w:rsidRPr="00FC0111" w:rsidRDefault="00507DED" w:rsidP="008A0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сокращение численности населения трудоспособного возраста; </w:t>
      </w:r>
    </w:p>
    <w:p w:rsidR="00507DED" w:rsidRPr="00FC0111" w:rsidRDefault="00507DED" w:rsidP="008A0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сокращение штата; </w:t>
      </w:r>
    </w:p>
    <w:p w:rsidR="00507DED" w:rsidRPr="00FC0111" w:rsidRDefault="00507DED" w:rsidP="008A06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отсутствие четкой перспективы трудовой деятельности. </w:t>
      </w:r>
    </w:p>
    <w:p w:rsidR="00507DED" w:rsidRPr="00FC0111" w:rsidRDefault="00507DED" w:rsidP="00507DE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</w:rPr>
        <w:t>Точность прогнозирования по разделу «</w:t>
      </w:r>
      <w:r w:rsidR="00464AB6">
        <w:rPr>
          <w:rFonts w:ascii="Times New Roman" w:hAnsi="Times New Roman"/>
          <w:sz w:val="28"/>
          <w:szCs w:val="28"/>
        </w:rPr>
        <w:t>Труд и занятость» составила 66,1</w:t>
      </w:r>
      <w:r w:rsidRPr="00FC0111">
        <w:rPr>
          <w:rFonts w:ascii="Times New Roman" w:hAnsi="Times New Roman"/>
          <w:sz w:val="28"/>
          <w:szCs w:val="28"/>
        </w:rPr>
        <w:t>%.</w:t>
      </w:r>
    </w:p>
    <w:p w:rsidR="00507DED" w:rsidRPr="00FC0111" w:rsidRDefault="00507DED" w:rsidP="00507DE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Развитие социальной сферы.</w:t>
      </w:r>
    </w:p>
    <w:p w:rsidR="00507DED" w:rsidRPr="00FC0111" w:rsidRDefault="00507DED" w:rsidP="00507DED">
      <w:pPr>
        <w:spacing w:after="0" w:line="240" w:lineRule="auto"/>
        <w:jc w:val="both"/>
        <w:rPr>
          <w:rFonts w:ascii="Times New Roman" w:hAnsi="Times New Roman"/>
          <w:color w:val="5B9BD5"/>
          <w:sz w:val="28"/>
          <w:szCs w:val="28"/>
        </w:rPr>
      </w:pPr>
    </w:p>
    <w:p w:rsidR="00507DED" w:rsidRPr="00FC0111" w:rsidRDefault="00507DED" w:rsidP="00507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0"/>
          <w:lang w:eastAsia="ru-RU"/>
        </w:rPr>
        <w:t xml:space="preserve">       Образовательный комплекс Александровского муниципального округа представлен 37 образовательными учреждениями.</w:t>
      </w:r>
    </w:p>
    <w:p w:rsidR="00507DED" w:rsidRPr="00FC0111" w:rsidRDefault="00507DED" w:rsidP="00507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0"/>
          <w:lang w:eastAsia="ru-RU"/>
        </w:rPr>
        <w:t xml:space="preserve">      В округе функционирует 22 детских сада и дошкольные группы в МОУ СОШ №3 х. Средний с общим количеством воспитанников 1479 человек,</w:t>
      </w:r>
      <w:r w:rsidRPr="00FC0111">
        <w:rPr>
          <w:rFonts w:ascii="Times New Roman" w:hAnsi="Times New Roman"/>
          <w:sz w:val="28"/>
          <w:szCs w:val="28"/>
        </w:rPr>
        <w:t xml:space="preserve"> что на 35 человек выше планового значения (плановое -1444 человек) и ниже 2023 года на 55 человек (в 2023 году 1534 человека)</w:t>
      </w:r>
      <w:r w:rsidRPr="00FC0111">
        <w:rPr>
          <w:rFonts w:ascii="Times New Roman" w:eastAsia="Times New Roman" w:hAnsi="Times New Roman"/>
          <w:sz w:val="28"/>
          <w:szCs w:val="20"/>
          <w:lang w:eastAsia="ru-RU"/>
        </w:rPr>
        <w:t xml:space="preserve">, 13 общеобразовательных школ, в которых обучается 4539 человек (2023 год - 4640 человек), 2 учреждения дополнительного образования детей (Центр детского творчества, спортивная школа), в которых заняты 914 человек (2023 год – 978 человек). </w:t>
      </w:r>
    </w:p>
    <w:p w:rsidR="00F843F6" w:rsidRDefault="00507DED" w:rsidP="00507D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  <w:lang w:eastAsia="ru-RU"/>
        </w:rPr>
        <w:t>Значение показателя «Обеспеченность дошкольными образовательными организациями» (мест на 1 тыс. детей в возрасте 1-6 лет) за 2024 год 862 ед., что на уровне планового значения.</w:t>
      </w:r>
    </w:p>
    <w:p w:rsidR="00507DED" w:rsidRPr="00FC0111" w:rsidRDefault="00F843F6" w:rsidP="00F843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843F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В 2024</w:t>
      </w:r>
      <w:r w:rsidRPr="008D252D">
        <w:rPr>
          <w:rFonts w:ascii="Times New Roman" w:hAnsi="Times New Roman"/>
          <w:sz w:val="28"/>
          <w:szCs w:val="28"/>
        </w:rPr>
        <w:t xml:space="preserve"> году доля общеобразовательных организаций, в которых создана универсальная </w:t>
      </w:r>
      <w:proofErr w:type="spellStart"/>
      <w:r w:rsidRPr="008D252D">
        <w:rPr>
          <w:rFonts w:ascii="Times New Roman" w:hAnsi="Times New Roman"/>
          <w:sz w:val="28"/>
          <w:szCs w:val="28"/>
        </w:rPr>
        <w:t>безбарьерная</w:t>
      </w:r>
      <w:proofErr w:type="spellEnd"/>
      <w:r w:rsidRPr="008D252D">
        <w:rPr>
          <w:rFonts w:ascii="Times New Roman" w:hAnsi="Times New Roman"/>
          <w:sz w:val="28"/>
          <w:szCs w:val="28"/>
        </w:rPr>
        <w:t xml:space="preserve"> среда для инклюзивного образования </w:t>
      </w:r>
      <w:proofErr w:type="spellStart"/>
      <w:r w:rsidRPr="008D252D">
        <w:rPr>
          <w:rFonts w:ascii="Times New Roman" w:hAnsi="Times New Roman"/>
          <w:sz w:val="28"/>
          <w:szCs w:val="28"/>
        </w:rPr>
        <w:t>детейинвалидов</w:t>
      </w:r>
      <w:proofErr w:type="spellEnd"/>
      <w:r w:rsidRPr="008D252D">
        <w:rPr>
          <w:rFonts w:ascii="Times New Roman" w:hAnsi="Times New Roman"/>
          <w:sz w:val="28"/>
          <w:szCs w:val="28"/>
        </w:rPr>
        <w:t>, в общем количестве общеобразова</w:t>
      </w:r>
      <w:r>
        <w:rPr>
          <w:rFonts w:ascii="Times New Roman" w:hAnsi="Times New Roman"/>
          <w:sz w:val="28"/>
          <w:szCs w:val="28"/>
        </w:rPr>
        <w:t>тельных организаций составила 22</w:t>
      </w:r>
      <w:r w:rsidRPr="008D252D">
        <w:rPr>
          <w:rFonts w:ascii="Times New Roman" w:hAnsi="Times New Roman"/>
          <w:sz w:val="28"/>
          <w:szCs w:val="28"/>
        </w:rPr>
        <w:t>,5%.</w:t>
      </w:r>
    </w:p>
    <w:p w:rsidR="00507DED" w:rsidRPr="00FC0111" w:rsidRDefault="00507DED" w:rsidP="00F843F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ГБУЗ СК «Александровская РБ» обслуживает население района, численность которого, составляет 46217 человек. Из них взрослого населения 37524, детского населения 8693. Лица трудоспособного возраста составляют 69%, взрослого населения старше трудоспособного возраста 31%.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Структура ГБУЗ СК «Александровская РБ» представлена районной поликлиникой на 600 посещений в смену и 10-ю койками дневного стационара, работающего в 2-е смены;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круглосуточным стационарном на 198 коек за счет средств ОМС, 20 коек за счет бюджетных средств и 57 коек дневного стационара.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В структуру стационара входят: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педиатрическое отделение (15 коек круглосуточного пребывания и 7 коек дневного стационара);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акушерско-гинекологическое отделение, включающее койки: патологии беременности (18 круглосуточных и 5 дневных), для беременных и рожениц (7 коек), гинекологические (10 круглосуточных и 5 дневных);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хирургическое отделение на 48 коек (хирургические - 18, гнойной хирургии - 17, травматологические - 13);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терапевтическое отделение на 62 койки (50 терапевтических и 12 неврологических) круглосуточного пребывания и 20 коек дневного стационара;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отделения паллиативной медицинской помощи взрослым на 20 коек;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инфекционное отделение для взрослых (10 коек) и детей (15 коек);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отделение анестезиологии и реанимации на 6-ть коек;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Калиновская участковая больница на 13 коек круглосуточного и 10 коек дневного пребывания.</w:t>
      </w:r>
    </w:p>
    <w:p w:rsidR="00507DED" w:rsidRPr="00FC0111" w:rsidRDefault="00507DED" w:rsidP="00507DE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6 врачебных амбулаторий с койками дневного стационара и в среднем на 60 посещений в смену;</w:t>
      </w:r>
    </w:p>
    <w:p w:rsidR="00507DED" w:rsidRPr="00FC0111" w:rsidRDefault="00507DED" w:rsidP="00507DE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5 фельдшерско-акушерских пунктов на 2600 посещений в год каждый.</w:t>
      </w:r>
    </w:p>
    <w:p w:rsidR="00507DED" w:rsidRDefault="00507DED" w:rsidP="00507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0111">
        <w:rPr>
          <w:rFonts w:ascii="Times New Roman" w:hAnsi="Times New Roman"/>
          <w:sz w:val="28"/>
          <w:szCs w:val="28"/>
        </w:rPr>
        <w:t xml:space="preserve">Значение показателя обеспеченность </w:t>
      </w:r>
      <w:r w:rsidRPr="00FC0111">
        <w:rPr>
          <w:rFonts w:ascii="Times New Roman" w:eastAsia="Times New Roman" w:hAnsi="Times New Roman"/>
          <w:sz w:val="28"/>
          <w:szCs w:val="28"/>
          <w:lang w:eastAsia="ru-RU"/>
        </w:rPr>
        <w:t>больничными койками на 10 000 человек населения в 2024г. 48,5 (оценка показателя больничными койками на 10 000 человек населения 54,9).</w:t>
      </w:r>
    </w:p>
    <w:p w:rsidR="00F843F6" w:rsidRPr="00FC0111" w:rsidRDefault="00633AC8" w:rsidP="00507D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43F6">
        <w:rPr>
          <w:rFonts w:ascii="Times New Roman" w:hAnsi="Times New Roman"/>
          <w:sz w:val="28"/>
          <w:szCs w:val="28"/>
        </w:rPr>
        <w:t>В 2024</w:t>
      </w:r>
      <w:r w:rsidR="00F843F6" w:rsidRPr="008D252D">
        <w:rPr>
          <w:rFonts w:ascii="Times New Roman" w:hAnsi="Times New Roman"/>
          <w:sz w:val="28"/>
          <w:szCs w:val="28"/>
        </w:rPr>
        <w:t xml:space="preserve"> году доля жителей </w:t>
      </w:r>
      <w:r w:rsidR="00F843F6">
        <w:rPr>
          <w:rFonts w:ascii="Times New Roman" w:hAnsi="Times New Roman"/>
          <w:sz w:val="28"/>
          <w:szCs w:val="28"/>
        </w:rPr>
        <w:t>округа</w:t>
      </w:r>
      <w:r w:rsidR="00F843F6" w:rsidRPr="008D252D">
        <w:rPr>
          <w:rFonts w:ascii="Times New Roman" w:hAnsi="Times New Roman"/>
          <w:sz w:val="28"/>
          <w:szCs w:val="28"/>
        </w:rPr>
        <w:t>, регулярно занимающихся физку</w:t>
      </w:r>
      <w:r>
        <w:rPr>
          <w:rFonts w:ascii="Times New Roman" w:hAnsi="Times New Roman"/>
          <w:sz w:val="28"/>
          <w:szCs w:val="28"/>
        </w:rPr>
        <w:t>льтурой и спортом, достигла 60,2</w:t>
      </w:r>
      <w:r w:rsidR="00F843F6" w:rsidRPr="008D252D">
        <w:rPr>
          <w:rFonts w:ascii="Times New Roman" w:hAnsi="Times New Roman"/>
          <w:sz w:val="28"/>
          <w:szCs w:val="28"/>
        </w:rPr>
        <w:t xml:space="preserve">% от </w:t>
      </w:r>
      <w:r>
        <w:rPr>
          <w:rFonts w:ascii="Times New Roman" w:hAnsi="Times New Roman"/>
          <w:sz w:val="28"/>
          <w:szCs w:val="28"/>
        </w:rPr>
        <w:t>общей численности населения</w:t>
      </w:r>
      <w:r w:rsidR="00F843F6" w:rsidRPr="008D252D">
        <w:rPr>
          <w:rFonts w:ascii="Times New Roman" w:hAnsi="Times New Roman"/>
          <w:sz w:val="28"/>
          <w:szCs w:val="28"/>
        </w:rPr>
        <w:t xml:space="preserve">.  В </w:t>
      </w:r>
      <w:r>
        <w:rPr>
          <w:rFonts w:ascii="Times New Roman" w:hAnsi="Times New Roman"/>
          <w:sz w:val="28"/>
          <w:szCs w:val="28"/>
        </w:rPr>
        <w:t>округе насчитывается более 100 спортивных сооружений.</w:t>
      </w:r>
    </w:p>
    <w:p w:rsidR="00633AC8" w:rsidRPr="00633AC8" w:rsidRDefault="00633AC8" w:rsidP="00633AC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33AC8">
        <w:rPr>
          <w:rFonts w:ascii="Times New Roman" w:hAnsi="Times New Roman"/>
          <w:sz w:val="28"/>
          <w:szCs w:val="28"/>
        </w:rPr>
        <w:t>Доля населения, использующих механизм получения государственных и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 xml:space="preserve"> в 2024г. составила 41% (плановый показатель 48,2%)</w:t>
      </w:r>
    </w:p>
    <w:p w:rsidR="00507DED" w:rsidRPr="00FC0111" w:rsidRDefault="00507DED" w:rsidP="00507D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11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К отраслевым рискам относятся: </w:t>
      </w:r>
    </w:p>
    <w:p w:rsidR="00507DED" w:rsidRPr="00FC0111" w:rsidRDefault="00507DED" w:rsidP="008A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падение платежеспособности населения может негативно сказаться на спросе на социальные услуги; </w:t>
      </w:r>
    </w:p>
    <w:p w:rsidR="00507DED" w:rsidRPr="00FC0111" w:rsidRDefault="00507DED" w:rsidP="008A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обострение демографической ситуации; </w:t>
      </w:r>
    </w:p>
    <w:p w:rsidR="00507DED" w:rsidRPr="00FC0111" w:rsidRDefault="00507DED" w:rsidP="008A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снижение стандартов обучения; </w:t>
      </w:r>
    </w:p>
    <w:p w:rsidR="00507DED" w:rsidRPr="00FC0111" w:rsidRDefault="00507DED" w:rsidP="008A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снижение стандартов медицинской помощи; </w:t>
      </w:r>
    </w:p>
    <w:p w:rsidR="00507DED" w:rsidRPr="00FC0111" w:rsidRDefault="00507DED" w:rsidP="008A0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C011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сокращение объемов финансового обеспечения за счет средств федерального и краевого бюджета может привести к ограничениям в финансировании социальных программ и услуг. </w:t>
      </w:r>
    </w:p>
    <w:p w:rsidR="00507DED" w:rsidRPr="00FC0111" w:rsidRDefault="00507DED" w:rsidP="00507D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Точность прогнозирования по разделу «Развитие </w:t>
      </w:r>
      <w:r w:rsidR="00464AB6">
        <w:rPr>
          <w:rFonts w:ascii="Times New Roman" w:hAnsi="Times New Roman"/>
          <w:sz w:val="28"/>
          <w:szCs w:val="28"/>
        </w:rPr>
        <w:t>социальной сферы» составила 93,2</w:t>
      </w:r>
      <w:r w:rsidRPr="00FC0111">
        <w:rPr>
          <w:rFonts w:ascii="Times New Roman" w:hAnsi="Times New Roman"/>
          <w:sz w:val="28"/>
          <w:szCs w:val="28"/>
        </w:rPr>
        <w:t xml:space="preserve"> %.</w:t>
      </w:r>
    </w:p>
    <w:p w:rsidR="00507DED" w:rsidRPr="00FC0111" w:rsidRDefault="00507DED" w:rsidP="00507DE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111">
        <w:rPr>
          <w:rFonts w:ascii="Times New Roman" w:hAnsi="Times New Roman"/>
          <w:sz w:val="28"/>
          <w:szCs w:val="28"/>
        </w:rPr>
        <w:t xml:space="preserve">По результатам оценки степени достижения запланированных значений целевых показателей прогноза среднее отклонение фактических значений макроэкономических показателей социально-экономического развития </w:t>
      </w:r>
      <w:r w:rsidRPr="00FC0111">
        <w:rPr>
          <w:rFonts w:ascii="Times New Roman" w:hAnsi="Times New Roman"/>
          <w:sz w:val="28"/>
          <w:szCs w:val="28"/>
        </w:rPr>
        <w:lastRenderedPageBreak/>
        <w:t xml:space="preserve">Александровского муниципального округа Ставропольского края за 2024 год составило </w:t>
      </w:r>
      <w:r w:rsidR="00095C3B">
        <w:rPr>
          <w:rFonts w:ascii="Times New Roman" w:hAnsi="Times New Roman"/>
          <w:sz w:val="28"/>
          <w:szCs w:val="28"/>
        </w:rPr>
        <w:t>10,75</w:t>
      </w:r>
      <w:r w:rsidRPr="00FC0111">
        <w:rPr>
          <w:rFonts w:ascii="Times New Roman" w:hAnsi="Times New Roman"/>
          <w:sz w:val="28"/>
          <w:szCs w:val="28"/>
        </w:rPr>
        <w:t xml:space="preserve"> единиц (Таблица «</w:t>
      </w:r>
      <w:r w:rsidR="001C6515" w:rsidRPr="00C501CA">
        <w:rPr>
          <w:rFonts w:ascii="Times New Roman" w:eastAsia="Times New Roman" w:hAnsi="Times New Roman"/>
          <w:sz w:val="28"/>
          <w:szCs w:val="28"/>
          <w:lang w:eastAsia="ru-RU"/>
        </w:rPr>
        <w:t>Оценка степени достижения запланированных значений целевых показателе</w:t>
      </w:r>
      <w:r w:rsidR="001C6515">
        <w:rPr>
          <w:rFonts w:ascii="Times New Roman" w:eastAsia="Times New Roman" w:hAnsi="Times New Roman"/>
          <w:sz w:val="28"/>
          <w:szCs w:val="28"/>
          <w:lang w:eastAsia="ru-RU"/>
        </w:rPr>
        <w:t>й на долгосрочный период за 2024 год</w:t>
      </w:r>
      <w:r w:rsidRPr="00FC0111">
        <w:rPr>
          <w:rFonts w:ascii="Times New Roman" w:hAnsi="Times New Roman"/>
          <w:sz w:val="28"/>
          <w:szCs w:val="28"/>
        </w:rPr>
        <w:t>» прилагается).</w:t>
      </w:r>
    </w:p>
    <w:p w:rsidR="00507DED" w:rsidRDefault="00507DED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DED" w:rsidRDefault="00507DED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DED" w:rsidRDefault="00507DED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07DED" w:rsidRPr="00FC0111" w:rsidRDefault="00507DED" w:rsidP="00FC0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0111" w:rsidRPr="00FC0111" w:rsidRDefault="00FC0111" w:rsidP="00FC01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0111" w:rsidRPr="00FC0111" w:rsidRDefault="00FC0111" w:rsidP="00FC01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0111" w:rsidRPr="00FC0111" w:rsidRDefault="00FC0111" w:rsidP="00FC011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562CD" w:rsidRDefault="005562CD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111" w:rsidRDefault="00FC0111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111" w:rsidRDefault="00FC0111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111" w:rsidRDefault="00FC0111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111" w:rsidRDefault="00FC0111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0111" w:rsidRDefault="00FC0111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A3" w:rsidRDefault="005B02A3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A3" w:rsidRDefault="005B02A3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A3" w:rsidRDefault="005B02A3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A3" w:rsidRDefault="005B02A3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A3" w:rsidRDefault="005B02A3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A3" w:rsidRDefault="005B02A3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6515" w:rsidRDefault="001C6515" w:rsidP="001C65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A3" w:rsidRDefault="005B02A3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A3" w:rsidRDefault="005B02A3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02A3" w:rsidRDefault="005B02A3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078C" w:rsidRPr="009E00AE" w:rsidRDefault="00C501CA" w:rsidP="002B07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01C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 Оценка степени достижения запланированных значений целевых показателе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 на долгосрочный период за 2024</w:t>
      </w:r>
      <w:r w:rsidRPr="00C501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  </w:t>
      </w:r>
    </w:p>
    <w:tbl>
      <w:tblPr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20"/>
        <w:gridCol w:w="1275"/>
        <w:gridCol w:w="1560"/>
        <w:gridCol w:w="1417"/>
        <w:gridCol w:w="3260"/>
      </w:tblGrid>
      <w:tr w:rsidR="002B078C" w:rsidRPr="009E00AE" w:rsidTr="00D366FB">
        <w:trPr>
          <w:trHeight w:val="150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Точность прогнозирования к факту 2024г.</w:t>
            </w:r>
          </w:p>
        </w:tc>
      </w:tr>
      <w:tr w:rsidR="002B078C" w:rsidRPr="009E00AE" w:rsidTr="00D366FB">
        <w:trPr>
          <w:trHeight w:val="32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B078C" w:rsidRPr="009E00AE" w:rsidTr="00D366FB">
        <w:trPr>
          <w:trHeight w:val="322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8C" w:rsidRPr="009E00AE" w:rsidTr="00A07577">
        <w:trPr>
          <w:trHeight w:val="276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78C" w:rsidRPr="009E00AE" w:rsidTr="00D366FB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2F2F2" w:fill="F2F2F2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Население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2F2F2" w:fill="F2F2F2"/>
            <w:noWrap/>
            <w:vAlign w:val="bottom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2F2F2"/>
            <w:noWrap/>
            <w:vAlign w:val="bottom"/>
            <w:hideMark/>
          </w:tcPr>
          <w:p w:rsidR="002B078C" w:rsidRPr="009E00AE" w:rsidRDefault="002B078C" w:rsidP="005F28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B078C" w:rsidRPr="009E00AE" w:rsidTr="000C7FB3">
        <w:trPr>
          <w:trHeight w:val="73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(в среднегодовом исчислении)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0C7FB3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0C7FB3" w:rsidP="00A07577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0,2</w:t>
            </w:r>
          </w:p>
        </w:tc>
      </w:tr>
      <w:tr w:rsidR="002B078C" w:rsidRPr="009E00AE" w:rsidTr="00D366FB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Ожидаемая продолжительность жизни при рождении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B078C" w:rsidRPr="009E00AE" w:rsidTr="00D366FB">
        <w:trPr>
          <w:trHeight w:val="171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рождаемости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родившихся живыми</w:t>
            </w: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 1000 человек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</w:t>
            </w:r>
          </w:p>
        </w:tc>
      </w:tr>
      <w:tr w:rsidR="002B078C" w:rsidRPr="009E00AE" w:rsidTr="00A07577">
        <w:trPr>
          <w:trHeight w:val="10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коэффициент смертности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умерших на 1000 человек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  <w:tr w:rsidR="002B078C" w:rsidRPr="009E00AE" w:rsidTr="00A07577">
        <w:trPr>
          <w:trHeight w:val="7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0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1000 человек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0C7FB3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2B078C" w:rsidRPr="009E00AE" w:rsidTr="000C7FB3">
        <w:trPr>
          <w:trHeight w:val="6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отклонение фактических значений</w:t>
            </w: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3841F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3,9</w:t>
            </w:r>
          </w:p>
        </w:tc>
      </w:tr>
      <w:tr w:rsidR="002B078C" w:rsidRPr="009E00AE" w:rsidTr="00D366FB">
        <w:trPr>
          <w:trHeight w:val="41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Точность прогноза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D94">
              <w:rPr>
                <w:rFonts w:ascii="Times New Roman" w:hAnsi="Times New Roman"/>
                <w:sz w:val="24"/>
                <w:szCs w:val="24"/>
              </w:rPr>
              <w:t>по разделу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3841F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</w:t>
            </w:r>
          </w:p>
        </w:tc>
      </w:tr>
      <w:tr w:rsidR="002B078C" w:rsidRPr="009E00AE" w:rsidTr="00D366FB">
        <w:trPr>
          <w:trHeight w:val="3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Промышленное производство</w:t>
            </w:r>
          </w:p>
        </w:tc>
      </w:tr>
      <w:tr w:rsidR="002B078C" w:rsidRPr="009E00AE" w:rsidTr="000C7FB3">
        <w:trPr>
          <w:trHeight w:val="21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576,1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2B078C" w:rsidRPr="009E00AE" w:rsidTr="00D366FB">
        <w:trPr>
          <w:trHeight w:val="70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8C" w:rsidRPr="009E00AE" w:rsidRDefault="002B078C" w:rsidP="005F28C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Среднее отклонение фактических значений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78C" w:rsidRPr="009E00AE" w:rsidRDefault="000C7FB3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</w:t>
            </w:r>
          </w:p>
        </w:tc>
      </w:tr>
      <w:tr w:rsidR="002B078C" w:rsidRPr="009E00AE" w:rsidTr="00B5189A">
        <w:trPr>
          <w:trHeight w:val="2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Точность прогноза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D94">
              <w:rPr>
                <w:rFonts w:ascii="Times New Roman" w:hAnsi="Times New Roman"/>
                <w:sz w:val="24"/>
                <w:szCs w:val="24"/>
              </w:rPr>
              <w:t>по разделу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78C" w:rsidRPr="009E00AE" w:rsidRDefault="009A14F1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82,5</w:t>
            </w:r>
          </w:p>
        </w:tc>
      </w:tr>
      <w:tr w:rsidR="002B078C" w:rsidRPr="009E00AE" w:rsidTr="00D366FB">
        <w:trPr>
          <w:trHeight w:val="37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2B078C" w:rsidRPr="009E00AE" w:rsidTr="00665419">
        <w:trPr>
          <w:trHeight w:val="26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- РАЗДЕЛ D: 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B078C" w:rsidRPr="009E00AE" w:rsidTr="00D366FB">
        <w:trPr>
          <w:trHeight w:val="5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8C" w:rsidRPr="009E00AE" w:rsidRDefault="002B078C" w:rsidP="005F28C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Среднее отклонение фактических 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</w:tr>
      <w:tr w:rsidR="002B078C" w:rsidRPr="009E00AE" w:rsidTr="00D366FB">
        <w:trPr>
          <w:trHeight w:val="36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Точность прогноза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D94">
              <w:rPr>
                <w:rFonts w:ascii="Times New Roman" w:hAnsi="Times New Roman"/>
                <w:sz w:val="24"/>
                <w:szCs w:val="24"/>
              </w:rPr>
              <w:t>по разделу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</w:tr>
      <w:tr w:rsidR="002B078C" w:rsidRPr="009E00AE" w:rsidTr="00D366FB">
        <w:trPr>
          <w:trHeight w:val="375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сельского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</w:tr>
      <w:tr w:rsidR="002B078C" w:rsidRPr="009E00AE" w:rsidTr="00D366FB">
        <w:trPr>
          <w:trHeight w:val="207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сельского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</w:t>
            </w: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B5189A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растениеводства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4,2</w:t>
            </w:r>
          </w:p>
        </w:tc>
      </w:tr>
      <w:tr w:rsidR="002B078C" w:rsidRPr="009E00AE" w:rsidTr="00D366FB">
        <w:trPr>
          <w:trHeight w:val="24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</w:t>
            </w: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B5189A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Продукция животноводства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2B078C" w:rsidRPr="009E00AE" w:rsidTr="00D366FB">
        <w:trPr>
          <w:trHeight w:val="187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</w:t>
            </w: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B5189A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8C" w:rsidRPr="009E00AE" w:rsidRDefault="002B078C" w:rsidP="005F28C2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Среднее отклонение фактических значений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78C" w:rsidRPr="009E00AE" w:rsidRDefault="00716473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</w:tr>
      <w:tr w:rsidR="002B078C" w:rsidRPr="009E00AE" w:rsidTr="00B5189A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78C" w:rsidRPr="009E00AE" w:rsidRDefault="002B078C" w:rsidP="00A07577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Точность прогноза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D94">
              <w:rPr>
                <w:rFonts w:ascii="Times New Roman" w:hAnsi="Times New Roman"/>
                <w:sz w:val="24"/>
                <w:szCs w:val="24"/>
              </w:rPr>
              <w:t>по разделу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716473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96,9</w:t>
            </w:r>
          </w:p>
        </w:tc>
      </w:tr>
      <w:tr w:rsidR="002B078C" w:rsidRPr="009E00AE" w:rsidTr="00D366FB">
        <w:trPr>
          <w:trHeight w:val="565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B078C" w:rsidRPr="009A14F1" w:rsidRDefault="00633A53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A14F1"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</w:tr>
      <w:tr w:rsidR="009A14F1" w:rsidRPr="009E00AE" w:rsidTr="00716473">
        <w:trPr>
          <w:trHeight w:val="2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F1" w:rsidRPr="009A14F1" w:rsidRDefault="009A14F1" w:rsidP="00A07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F1">
              <w:rPr>
                <w:rFonts w:ascii="Times New Roman" w:hAnsi="Times New Roman"/>
                <w:sz w:val="24"/>
                <w:szCs w:val="24"/>
              </w:rPr>
              <w:lastRenderedPageBreak/>
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F1" w:rsidRPr="00A07577" w:rsidRDefault="009A14F1" w:rsidP="00A07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77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F1" w:rsidRPr="00B5189A" w:rsidRDefault="009A14F1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189A">
              <w:rPr>
                <w:rFonts w:ascii="Times New Roman" w:hAnsi="Times New Roman"/>
                <w:sz w:val="28"/>
                <w:szCs w:val="28"/>
              </w:rPr>
              <w:t>593,71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F1" w:rsidRPr="00B5189A" w:rsidRDefault="009A14F1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189A">
              <w:rPr>
                <w:rFonts w:ascii="Times New Roman" w:hAnsi="Times New Roman"/>
                <w:sz w:val="28"/>
                <w:szCs w:val="28"/>
              </w:rPr>
              <w:t>593,71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F1" w:rsidRPr="00B5189A" w:rsidRDefault="009A14F1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A14F1" w:rsidRPr="009E00AE" w:rsidTr="00A07577">
        <w:trPr>
          <w:trHeight w:val="26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F1" w:rsidRPr="009A14F1" w:rsidRDefault="009A14F1" w:rsidP="00A07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F1">
              <w:rPr>
                <w:rFonts w:ascii="Times New Roman" w:hAnsi="Times New Roman"/>
                <w:sz w:val="24"/>
                <w:szCs w:val="24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F1" w:rsidRPr="00A07577" w:rsidRDefault="009A14F1" w:rsidP="00A07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577">
              <w:rPr>
                <w:rFonts w:ascii="Times New Roman" w:hAnsi="Times New Roman"/>
                <w:sz w:val="24"/>
                <w:szCs w:val="24"/>
              </w:rPr>
              <w:t>на конец года; процентов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4F1" w:rsidRPr="00B5189A" w:rsidRDefault="009A14F1" w:rsidP="00A07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89A">
              <w:rPr>
                <w:rFonts w:ascii="Times New Roman" w:hAnsi="Times New Roman"/>
                <w:sz w:val="28"/>
                <w:szCs w:val="28"/>
              </w:rPr>
              <w:t>89,70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F1" w:rsidRPr="00B5189A" w:rsidRDefault="009A14F1" w:rsidP="00A0757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89A">
              <w:rPr>
                <w:rFonts w:ascii="Times New Roman" w:hAnsi="Times New Roman"/>
                <w:sz w:val="28"/>
                <w:szCs w:val="28"/>
              </w:rPr>
              <w:t>89,70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4F1" w:rsidRPr="00B5189A" w:rsidRDefault="009A14F1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8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B078C" w:rsidRPr="009E00AE" w:rsidTr="00D366FB">
        <w:trPr>
          <w:trHeight w:val="19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8C" w:rsidRPr="003B6A6D" w:rsidRDefault="002B078C" w:rsidP="00A07577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6D">
              <w:rPr>
                <w:rFonts w:ascii="Times New Roman" w:hAnsi="Times New Roman"/>
                <w:sz w:val="24"/>
                <w:szCs w:val="24"/>
              </w:rPr>
              <w:t>Точность прогноза  по разделу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3B6A6D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3B6A6D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B078C" w:rsidRPr="003B6A6D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78C" w:rsidRPr="003B6A6D" w:rsidRDefault="00B5189A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B078C" w:rsidRPr="009E00AE" w:rsidTr="00D366FB">
        <w:trPr>
          <w:trHeight w:val="375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B078C" w:rsidRPr="003B6A6D" w:rsidRDefault="003B6A6D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Рынок товаров и услуг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1266,10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1 582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2B078C" w:rsidRPr="009E00AE" w:rsidTr="00D366FB">
        <w:trPr>
          <w:trHeight w:val="20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Индекс физического объема оборота розничной торговли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к предыдущему году</w:t>
            </w: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сопоставимых ценах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3,9</w:t>
            </w:r>
          </w:p>
        </w:tc>
      </w:tr>
      <w:tr w:rsidR="002B078C" w:rsidRPr="009E00AE" w:rsidTr="00D366FB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 рублей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808,35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6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633A53" w:rsidRPr="009E00AE" w:rsidTr="009A14F1">
        <w:trPr>
          <w:trHeight w:val="9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A53" w:rsidRPr="005F28C2" w:rsidRDefault="00633A53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C2">
              <w:rPr>
                <w:rFonts w:ascii="Times New Roman" w:hAnsi="Times New Roman"/>
                <w:sz w:val="24"/>
                <w:szCs w:val="24"/>
              </w:rPr>
              <w:t>Индекс физического объема платных услуг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A53" w:rsidRPr="005F28C2" w:rsidRDefault="00633A53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C2">
              <w:rPr>
                <w:rFonts w:ascii="Times New Roman" w:hAnsi="Times New Roman"/>
                <w:sz w:val="24"/>
                <w:szCs w:val="24"/>
              </w:rPr>
              <w:t>процентов к предыдущему году в сопоставимых ценах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53" w:rsidRPr="003B6A6D" w:rsidRDefault="00943018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53" w:rsidRPr="003B6A6D" w:rsidRDefault="00943018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A53" w:rsidRPr="003B6A6D" w:rsidRDefault="00943018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78C" w:rsidRPr="009E00AE" w:rsidTr="00D366FB">
        <w:trPr>
          <w:trHeight w:val="61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8C" w:rsidRPr="003B6A6D" w:rsidRDefault="002B078C" w:rsidP="007064C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6D">
              <w:rPr>
                <w:rFonts w:ascii="Times New Roman" w:hAnsi="Times New Roman"/>
                <w:sz w:val="24"/>
                <w:szCs w:val="24"/>
              </w:rPr>
              <w:t>Среднее отклонение фактических значений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78C" w:rsidRPr="003B6A6D" w:rsidRDefault="004C787E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</w:t>
            </w:r>
          </w:p>
        </w:tc>
      </w:tr>
      <w:tr w:rsidR="002B078C" w:rsidRPr="009E00AE" w:rsidTr="00A07577">
        <w:trPr>
          <w:trHeight w:val="53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8C" w:rsidRPr="003B6A6D" w:rsidRDefault="002B078C" w:rsidP="007064C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A6D">
              <w:rPr>
                <w:rFonts w:ascii="Times New Roman" w:hAnsi="Times New Roman"/>
                <w:sz w:val="24"/>
                <w:szCs w:val="24"/>
              </w:rPr>
              <w:t>Точность прогноза  по разделу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3B6A6D" w:rsidRDefault="002B078C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78C" w:rsidRPr="003B6A6D" w:rsidRDefault="004C787E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2B078C" w:rsidRPr="009E00AE" w:rsidTr="00D366FB">
        <w:trPr>
          <w:trHeight w:val="375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B078C" w:rsidRPr="009E00AE" w:rsidRDefault="00854782" w:rsidP="007064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Инвестиции и строительство</w:t>
            </w:r>
          </w:p>
        </w:tc>
      </w:tr>
      <w:tr w:rsidR="002B078C" w:rsidRPr="009E00AE" w:rsidTr="00B5189A">
        <w:trPr>
          <w:trHeight w:val="126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7064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7064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ценах соответствующих лет; 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7064C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2975,82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2987,4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54782" w:rsidRPr="009E00AE" w:rsidTr="007064CE">
        <w:trPr>
          <w:trHeight w:val="6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782" w:rsidRPr="005F28C2" w:rsidRDefault="00854782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C2">
              <w:rPr>
                <w:rFonts w:ascii="Times New Roman" w:hAnsi="Times New Roman"/>
                <w:sz w:val="24"/>
                <w:szCs w:val="24"/>
              </w:rPr>
              <w:lastRenderedPageBreak/>
              <w:t>Ввод в действие жилых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782" w:rsidRPr="005F28C2" w:rsidRDefault="00854782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C2">
              <w:rPr>
                <w:rFonts w:ascii="Times New Roman" w:hAnsi="Times New Roman"/>
                <w:sz w:val="24"/>
                <w:szCs w:val="24"/>
              </w:rPr>
              <w:t>тыс. кв. м общей площади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782" w:rsidRPr="005F28C2" w:rsidRDefault="00854782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C2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782" w:rsidRPr="005F28C2" w:rsidRDefault="00854782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C2">
              <w:rPr>
                <w:rFonts w:ascii="Times New Roman" w:hAnsi="Times New Roman"/>
                <w:sz w:val="24"/>
                <w:szCs w:val="24"/>
              </w:rPr>
              <w:t>5,956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782" w:rsidRPr="005F28C2" w:rsidRDefault="00854782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8C2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</w:tr>
      <w:tr w:rsidR="004C787E" w:rsidRPr="009E00AE" w:rsidTr="00A07577">
        <w:trPr>
          <w:trHeight w:val="5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7E" w:rsidRPr="009E00AE" w:rsidRDefault="004C787E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Среднее отклонение фактических 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7E" w:rsidRPr="005F28C2" w:rsidRDefault="004C787E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7E" w:rsidRPr="005F28C2" w:rsidRDefault="004C787E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7E" w:rsidRPr="005F28C2" w:rsidRDefault="004C787E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87E" w:rsidRPr="005F28C2" w:rsidRDefault="00D56A47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4C787E" w:rsidRPr="009E00AE" w:rsidTr="00A07577">
        <w:trPr>
          <w:trHeight w:val="57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7E" w:rsidRPr="009E00AE" w:rsidRDefault="004C787E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Точность прогноза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D94">
              <w:rPr>
                <w:rFonts w:ascii="Times New Roman" w:hAnsi="Times New Roman"/>
                <w:sz w:val="24"/>
                <w:szCs w:val="24"/>
              </w:rPr>
              <w:t>по разделу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7E" w:rsidRPr="005F28C2" w:rsidRDefault="004C787E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7E" w:rsidRPr="005F28C2" w:rsidRDefault="004C787E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7E" w:rsidRPr="005F28C2" w:rsidRDefault="004C787E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87E" w:rsidRPr="005F28C2" w:rsidRDefault="00943018" w:rsidP="007064C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95,15</w:t>
            </w:r>
          </w:p>
        </w:tc>
      </w:tr>
      <w:tr w:rsidR="002B078C" w:rsidRPr="009E00AE" w:rsidTr="00D366FB">
        <w:trPr>
          <w:trHeight w:val="375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Консолидированный бюджет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Доходы консолидированного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Налоговые и неналоговые доходы,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2B078C" w:rsidRPr="009E00AE" w:rsidTr="00D366FB">
        <w:trPr>
          <w:trHeight w:val="207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Налоговые доходы консолидированного бюджета муниципального образования Ставропольского края 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11,9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2B078C" w:rsidRPr="009E00AE" w:rsidTr="00D366FB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2B078C" w:rsidRPr="009E00AE" w:rsidTr="00D366FB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Безвозмездные поступления всего,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1455,00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2B078C" w:rsidRPr="009E00AE" w:rsidTr="00B5189A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895C11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 из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</w:tr>
      <w:tr w:rsidR="002B078C" w:rsidRPr="009E00AE" w:rsidTr="00D366FB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из федерального бюджета,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665419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D366FB">
        <w:trPr>
          <w:trHeight w:val="75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Расходы консолидированного бюджета, в том числе по направлениям: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1855,00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B078C" w:rsidRPr="009E00AE" w:rsidTr="00D366FB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B078C" w:rsidRPr="009E00AE" w:rsidTr="00D366FB">
        <w:trPr>
          <w:trHeight w:val="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D366FB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78C" w:rsidRPr="009E00AE" w:rsidTr="00D366FB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Дефицит(-),профицит(+) консолидированного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E00AE" w:rsidRDefault="002B078C" w:rsidP="005F28C2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224,0</w:t>
            </w:r>
          </w:p>
        </w:tc>
      </w:tr>
      <w:tr w:rsidR="002B078C" w:rsidRPr="009E00AE" w:rsidTr="00D366FB">
        <w:trPr>
          <w:trHeight w:val="7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Государственный долг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078C" w:rsidRPr="009E00AE" w:rsidTr="00D366FB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78C" w:rsidRPr="009E00AE" w:rsidRDefault="002B078C" w:rsidP="00A075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Среднее отклонение фактических значений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A07577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16,08</w:t>
            </w:r>
          </w:p>
        </w:tc>
      </w:tr>
      <w:tr w:rsidR="002B078C" w:rsidRPr="009E00AE" w:rsidTr="00D366FB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78C" w:rsidRPr="009E00AE" w:rsidRDefault="002B078C" w:rsidP="00A075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0AE">
              <w:rPr>
                <w:rFonts w:ascii="Times New Roman" w:hAnsi="Times New Roman"/>
                <w:sz w:val="24"/>
                <w:szCs w:val="24"/>
              </w:rPr>
              <w:t>Точность прогноза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0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F2D94">
              <w:rPr>
                <w:rFonts w:ascii="Times New Roman" w:hAnsi="Times New Roman"/>
                <w:sz w:val="24"/>
                <w:szCs w:val="24"/>
              </w:rPr>
              <w:t>по разделу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2B078C" w:rsidRPr="009E00AE" w:rsidTr="00D366FB">
        <w:trPr>
          <w:trHeight w:val="375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  <w:hideMark/>
          </w:tcPr>
          <w:p w:rsidR="002B078C" w:rsidRPr="009E00AE" w:rsidRDefault="002B078C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 и занятость</w:t>
            </w:r>
          </w:p>
        </w:tc>
      </w:tr>
      <w:tr w:rsidR="002B078C" w:rsidRPr="009E00AE" w:rsidTr="00A07577">
        <w:trPr>
          <w:trHeight w:val="52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83F5F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83F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9B5" w:rsidRPr="002E49B5" w:rsidRDefault="002E49B5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E49B5">
              <w:rPr>
                <w:rFonts w:ascii="Times New Roman" w:hAnsi="Times New Roman"/>
                <w:color w:val="000000"/>
                <w:sz w:val="24"/>
                <w:szCs w:val="24"/>
              </w:rPr>
              <w:t>тыс. человек</w:t>
            </w:r>
          </w:p>
          <w:p w:rsidR="002B078C" w:rsidRPr="009E00AE" w:rsidRDefault="002B078C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43018" w:rsidRDefault="002E49B5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78C" w:rsidRPr="00943018" w:rsidRDefault="00407D43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078C" w:rsidRPr="00943018" w:rsidRDefault="00943018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5F28C2" w:rsidRPr="009E00AE" w:rsidTr="00D366FB">
        <w:trPr>
          <w:trHeight w:val="11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C2" w:rsidRPr="00943018" w:rsidRDefault="005F28C2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численность занятых в экономике (по данным баланса трудовых ресурсов)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C2" w:rsidRPr="00943018" w:rsidRDefault="005F28C2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C2" w:rsidRPr="00943018" w:rsidRDefault="005F28C2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C2" w:rsidRPr="00943018" w:rsidRDefault="005F28C2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4301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8C2" w:rsidRPr="00943018" w:rsidRDefault="005F28C2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83F5F" w:rsidRPr="009E00AE" w:rsidTr="00D366FB">
        <w:trPr>
          <w:trHeight w:val="11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5F" w:rsidRPr="00943018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5F" w:rsidRPr="00943018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43590,60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1,8</w:t>
            </w:r>
          </w:p>
        </w:tc>
      </w:tr>
      <w:tr w:rsidR="00983F5F" w:rsidRPr="009E00AE" w:rsidTr="00A07577">
        <w:trPr>
          <w:trHeight w:val="13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5F" w:rsidRPr="00943018" w:rsidRDefault="00983F5F" w:rsidP="00A07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5F" w:rsidRPr="00943018" w:rsidRDefault="00983F5F" w:rsidP="00A075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5F" w:rsidRPr="00943018" w:rsidRDefault="002E49B5" w:rsidP="009430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113,4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3F5F" w:rsidRPr="00943018" w:rsidRDefault="00943018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5F" w:rsidRPr="00943018" w:rsidRDefault="00943018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</w:t>
            </w:r>
          </w:p>
        </w:tc>
      </w:tr>
      <w:tr w:rsidR="00983F5F" w:rsidRPr="009E00AE" w:rsidTr="00A07577">
        <w:trPr>
          <w:trHeight w:val="9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5F28C2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28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Уровень зарегистрированной безработицы (на конец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E00AE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983F5F" w:rsidRPr="009E00AE" w:rsidTr="00D366FB">
        <w:trPr>
          <w:trHeight w:val="16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5F28C2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28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E00AE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174,0</w:t>
            </w:r>
          </w:p>
        </w:tc>
      </w:tr>
      <w:tr w:rsidR="00983F5F" w:rsidRPr="009E00AE" w:rsidTr="00A07577">
        <w:trPr>
          <w:trHeight w:val="54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5F28C2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28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Фонд заработной платы работников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E00AE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0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2198,87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943018" w:rsidRPr="009E00AE" w:rsidTr="00DF2A9F">
        <w:trPr>
          <w:trHeight w:val="141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8" w:rsidRPr="00983F5F" w:rsidRDefault="00943018" w:rsidP="009430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F5F">
              <w:rPr>
                <w:rFonts w:ascii="Times New Roman" w:hAnsi="Times New Roman"/>
                <w:sz w:val="24"/>
                <w:szCs w:val="24"/>
              </w:rPr>
              <w:t>Темп роста фонда заработной платы работников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8" w:rsidRPr="00983F5F" w:rsidRDefault="00943018" w:rsidP="009430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F5F">
              <w:rPr>
                <w:rFonts w:ascii="Times New Roman" w:hAnsi="Times New Roman"/>
                <w:sz w:val="24"/>
                <w:szCs w:val="24"/>
              </w:rPr>
              <w:t>процентов к предыдущему году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8" w:rsidRPr="00943018" w:rsidRDefault="00943018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8" w:rsidRPr="00943018" w:rsidRDefault="00943018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112,2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3018" w:rsidRPr="00943018" w:rsidRDefault="00943018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  <w:tr w:rsidR="00983F5F" w:rsidRPr="009E00AE" w:rsidTr="00A07577">
        <w:trPr>
          <w:trHeight w:val="53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5F" w:rsidRPr="005F28C2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2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Среднее отклонение фактических 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E00AE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5F" w:rsidRPr="00943018" w:rsidRDefault="00716473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33,9</w:t>
            </w:r>
          </w:p>
        </w:tc>
      </w:tr>
      <w:tr w:rsidR="00983F5F" w:rsidRPr="009E00AE" w:rsidTr="00A07577">
        <w:trPr>
          <w:trHeight w:val="39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5F" w:rsidRPr="005F28C2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F28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Точность прогноза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E00AE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943018" w:rsidRDefault="00983F5F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5F" w:rsidRPr="00943018" w:rsidRDefault="00716473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66,1</w:t>
            </w:r>
          </w:p>
        </w:tc>
      </w:tr>
      <w:tr w:rsidR="00414076" w:rsidRPr="009E00AE" w:rsidTr="00D366FB">
        <w:trPr>
          <w:trHeight w:val="379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2F2F2"/>
            <w:vAlign w:val="center"/>
          </w:tcPr>
          <w:p w:rsidR="00414076" w:rsidRPr="00943018" w:rsidRDefault="00414076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социальной сферы</w:t>
            </w:r>
          </w:p>
        </w:tc>
      </w:tr>
      <w:tr w:rsidR="00414076" w:rsidRPr="009E00AE" w:rsidTr="00D366FB">
        <w:trPr>
          <w:trHeight w:val="5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76" w:rsidRPr="007064CE" w:rsidRDefault="00414076" w:rsidP="00A075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Обеспеченность дошкольными образовательными организациями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076" w:rsidRPr="007064CE" w:rsidRDefault="00414076" w:rsidP="004140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 на 1 тыс. детей в возрасте 1 - 6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76" w:rsidRPr="00943018" w:rsidRDefault="00414076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76" w:rsidRPr="00943018" w:rsidRDefault="00414076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862,00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018" w:rsidRPr="00943018" w:rsidRDefault="00943018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14076" w:rsidRPr="009E00AE" w:rsidTr="00D366FB">
        <w:trPr>
          <w:trHeight w:val="5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76" w:rsidRPr="007064CE" w:rsidRDefault="00414076" w:rsidP="00A075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7064CE">
              <w:rPr>
                <w:rFonts w:ascii="Times New Roman" w:hAnsi="Times New Roman"/>
                <w:sz w:val="24"/>
                <w:szCs w:val="24"/>
              </w:rPr>
              <w:t>безбарьерная</w:t>
            </w:r>
            <w:proofErr w:type="spellEnd"/>
            <w:r w:rsidRPr="007064CE">
              <w:rPr>
                <w:rFonts w:ascii="Times New Roman" w:hAnsi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76" w:rsidRPr="007064CE" w:rsidRDefault="00414076" w:rsidP="004140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76" w:rsidRPr="00943018" w:rsidRDefault="00131ED8" w:rsidP="0094301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76" w:rsidRPr="00943018" w:rsidRDefault="00CA5F89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076" w:rsidRPr="00943018" w:rsidRDefault="00943018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44EFD" w:rsidRPr="009E00AE" w:rsidTr="00F27D18">
        <w:trPr>
          <w:trHeight w:val="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FD" w:rsidRPr="007064CE" w:rsidRDefault="00A44EFD" w:rsidP="00A44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Обеспеченность больничными койками на 10 тыс.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EFD" w:rsidRPr="007064CE" w:rsidRDefault="00A44EFD" w:rsidP="00A44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коек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FD" w:rsidRPr="00943018" w:rsidRDefault="00A44EFD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FD" w:rsidRPr="00943018" w:rsidRDefault="00A44EFD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48,50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EFD" w:rsidRPr="00943018" w:rsidRDefault="00A44EFD" w:rsidP="00943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3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131ED8" w:rsidRPr="009E00AE" w:rsidTr="00665419">
        <w:trPr>
          <w:trHeight w:val="5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7064CE" w:rsidRDefault="00131ED8" w:rsidP="00131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lastRenderedPageBreak/>
              <w:t>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7064CE" w:rsidRDefault="00131ED8" w:rsidP="00131E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943018" w:rsidRDefault="00131ED8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943018" w:rsidRDefault="00303456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60,2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943018" w:rsidRDefault="00272E19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131ED8" w:rsidRPr="009E00AE" w:rsidTr="00D366FB">
        <w:trPr>
          <w:trHeight w:val="5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7064CE" w:rsidRDefault="00131ED8" w:rsidP="00131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Уровень обеспеченности плоскостными спортивными сооружениями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7064CE" w:rsidRDefault="00131ED8" w:rsidP="00131ED8">
            <w:pPr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тыс. кв. м. на 10 тыс. населения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943018" w:rsidRDefault="00131ED8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943018" w:rsidRDefault="00303456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943018" w:rsidRDefault="00272E19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</w:tr>
      <w:tr w:rsidR="00131ED8" w:rsidRPr="009E00AE" w:rsidTr="00D366FB">
        <w:trPr>
          <w:trHeight w:val="5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7064CE" w:rsidRDefault="00131ED8" w:rsidP="00131E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Доля населения, использующих механизм получения государственных и муниципальных услуг в электронной форме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7064CE" w:rsidRDefault="00131ED8" w:rsidP="00131ED8">
            <w:pPr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943018" w:rsidRDefault="00131ED8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48,20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943018" w:rsidRDefault="00303456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ED8" w:rsidRPr="00943018" w:rsidRDefault="00272E19" w:rsidP="009430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018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983F5F" w:rsidRPr="009E00AE" w:rsidTr="00D366FB">
        <w:trPr>
          <w:trHeight w:val="109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5F" w:rsidRPr="007064CE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Среднее отклонение фактических значений по разделу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5F" w:rsidRPr="007064CE" w:rsidRDefault="00943018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</w:tr>
      <w:tr w:rsidR="00983F5F" w:rsidRPr="009E00AE" w:rsidTr="00D366FB">
        <w:trPr>
          <w:trHeight w:val="100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5F" w:rsidRPr="007064CE" w:rsidRDefault="00983F5F" w:rsidP="00A07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Точность прогноза  по разделу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F5F" w:rsidRPr="007064CE" w:rsidRDefault="00943018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93,2</w:t>
            </w:r>
          </w:p>
        </w:tc>
      </w:tr>
      <w:tr w:rsidR="00983F5F" w:rsidRPr="009E00AE" w:rsidTr="00D366FB">
        <w:trPr>
          <w:trHeight w:val="58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5F" w:rsidRPr="007064CE" w:rsidRDefault="00983F5F" w:rsidP="00A075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Среднее отклонение фактических значений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5F" w:rsidRPr="000441B3" w:rsidRDefault="000441B3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10,75</w:t>
            </w:r>
          </w:p>
        </w:tc>
      </w:tr>
      <w:tr w:rsidR="00983F5F" w:rsidRPr="009E00AE" w:rsidTr="00D366FB">
        <w:trPr>
          <w:trHeight w:val="25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5F" w:rsidRPr="007064CE" w:rsidRDefault="00983F5F" w:rsidP="00A0757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4CE">
              <w:rPr>
                <w:rFonts w:ascii="Times New Roman" w:hAnsi="Times New Roman"/>
                <w:sz w:val="24"/>
                <w:szCs w:val="24"/>
              </w:rPr>
              <w:t>Точность прогноза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F5F" w:rsidRPr="007064CE" w:rsidRDefault="00983F5F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F5F" w:rsidRPr="000441B3" w:rsidRDefault="000441B3" w:rsidP="005F28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89,25</w:t>
            </w:r>
          </w:p>
        </w:tc>
      </w:tr>
    </w:tbl>
    <w:p w:rsidR="009A14F1" w:rsidRDefault="009A14F1" w:rsidP="00D366F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14F1" w:rsidRDefault="009A14F1" w:rsidP="00D366F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78C" w:rsidRDefault="002B078C" w:rsidP="00D366FB">
      <w:pPr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78C" w:rsidRDefault="002B078C" w:rsidP="002B078C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078C" w:rsidRDefault="002B078C" w:rsidP="002B078C">
      <w:pPr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37C9F" w:rsidRDefault="00A37C9F"/>
    <w:sectPr w:rsidR="00A37C9F" w:rsidSect="005F28C2">
      <w:pgSz w:w="11906" w:h="16838"/>
      <w:pgMar w:top="851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C"/>
    <w:rsid w:val="000304DA"/>
    <w:rsid w:val="000441B3"/>
    <w:rsid w:val="000604D0"/>
    <w:rsid w:val="00095C3B"/>
    <w:rsid w:val="000C7FB3"/>
    <w:rsid w:val="00131ED8"/>
    <w:rsid w:val="001C1D6C"/>
    <w:rsid w:val="001C6515"/>
    <w:rsid w:val="00200BE0"/>
    <w:rsid w:val="00272E19"/>
    <w:rsid w:val="0029732A"/>
    <w:rsid w:val="002B078C"/>
    <w:rsid w:val="002E49B5"/>
    <w:rsid w:val="00303456"/>
    <w:rsid w:val="003841FF"/>
    <w:rsid w:val="003B6A6D"/>
    <w:rsid w:val="00407D43"/>
    <w:rsid w:val="00414076"/>
    <w:rsid w:val="00464AB6"/>
    <w:rsid w:val="004C787E"/>
    <w:rsid w:val="00507DED"/>
    <w:rsid w:val="0051183B"/>
    <w:rsid w:val="005562CD"/>
    <w:rsid w:val="00583D93"/>
    <w:rsid w:val="005B02A3"/>
    <w:rsid w:val="005F28C2"/>
    <w:rsid w:val="00612883"/>
    <w:rsid w:val="00633A53"/>
    <w:rsid w:val="00633AC8"/>
    <w:rsid w:val="00665419"/>
    <w:rsid w:val="006C3848"/>
    <w:rsid w:val="007064CE"/>
    <w:rsid w:val="00716473"/>
    <w:rsid w:val="00781985"/>
    <w:rsid w:val="007D235D"/>
    <w:rsid w:val="00854782"/>
    <w:rsid w:val="00895C11"/>
    <w:rsid w:val="008A069D"/>
    <w:rsid w:val="008A314A"/>
    <w:rsid w:val="00900F6C"/>
    <w:rsid w:val="00943018"/>
    <w:rsid w:val="00983F5F"/>
    <w:rsid w:val="009A14F1"/>
    <w:rsid w:val="00A07577"/>
    <w:rsid w:val="00A37C9F"/>
    <w:rsid w:val="00A44EFD"/>
    <w:rsid w:val="00A629E6"/>
    <w:rsid w:val="00B5189A"/>
    <w:rsid w:val="00B526B0"/>
    <w:rsid w:val="00BC1781"/>
    <w:rsid w:val="00C501CA"/>
    <w:rsid w:val="00C647FB"/>
    <w:rsid w:val="00CA5F89"/>
    <w:rsid w:val="00D366FB"/>
    <w:rsid w:val="00D56A47"/>
    <w:rsid w:val="00DC0A49"/>
    <w:rsid w:val="00DC5650"/>
    <w:rsid w:val="00DF2A9F"/>
    <w:rsid w:val="00DF7576"/>
    <w:rsid w:val="00F27D18"/>
    <w:rsid w:val="00F843F6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65F15"/>
  <w15:chartTrackingRefBased/>
  <w15:docId w15:val="{01DC6590-BA55-42C7-827C-A984FBA5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27D18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F27D1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27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3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10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s.batishev\Desktop\&#1048;&#1090;&#1086;&#1075;&#1080;\2024\&#1079;&#1072;%2024\&#1057;&#1054;&#1062;.%20&#1069;&#1050;&#1054;&#1053;&#1054;&#1052;.%20&#1056;&#1040;&#1047;&#1042;&#1048;&#1058;&#1048;&#1045;%20&#1054;&#1050;&#1056;&#1059;&#1043;&#1040;%20&#1047;&#1040;%20%202024%20&#1075;..doc!_1805710250" TargetMode="External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3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'[Диаграмма в C  Users s.batishev Desktop Итоги 2024 за 24 СОЦ. ЭКОНОМ. РАЗВИТИЕ ОКРУГА ЗА  2024 г..doc]Лист1'!$B$1</c:f>
              <c:strCache>
                <c:ptCount val="1"/>
                <c:pt idx="0">
                  <c:v>Январь-ноябрь 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320747449230963E-2"/>
                  <c:y val="4.2347697990742957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F98-46BB-B85C-B0E01B9BA9B8}"/>
                </c:ext>
              </c:extLst>
            </c:dLbl>
            <c:dLbl>
              <c:idx val="1"/>
              <c:layout>
                <c:manualLayout>
                  <c:x val="2.9658076016948393E-2"/>
                  <c:y val="6.882473024205308E-4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F98-46BB-B85C-B0E01B9BA9B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C  Users s.batishev Desktop Итоги 2024 за 24 СОЦ. ЭКОНОМ. РАЗВИТИЕ ОКРУГА ЗА  2024 г..doc]Лист1'!$A$2:$A$3</c:f>
              <c:strCache>
                <c:ptCount val="2"/>
                <c:pt idx="0">
                  <c:v>Родилось, чел.</c:v>
                </c:pt>
                <c:pt idx="1">
                  <c:v>Умерло, чел.</c:v>
                </c:pt>
              </c:strCache>
            </c:strRef>
          </c:cat>
          <c:val>
            <c:numRef>
              <c:f>'[Диаграмма в C  Users s.batishev Desktop Итоги 2024 за 24 СОЦ. ЭКОНОМ. РАЗВИТИЕ ОКРУГА ЗА  2024 г..doc]Лист1'!$B$2:$B$3</c:f>
              <c:numCache>
                <c:formatCode>General</c:formatCode>
                <c:ptCount val="2"/>
                <c:pt idx="0">
                  <c:v>355</c:v>
                </c:pt>
                <c:pt idx="1">
                  <c:v>554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F98-46BB-B85C-B0E01B9BA9B8}"/>
            </c:ext>
          </c:extLst>
        </c:ser>
        <c:ser>
          <c:idx val="1"/>
          <c:order val="1"/>
          <c:tx>
            <c:strRef>
              <c:f>'[Диаграмма в C  Users s.batishev Desktop Итоги 2024 за 24 СОЦ. ЭКОНОМ. РАЗВИТИЕ ОКРУГА ЗА  2024 г..doc]Лист1'!$C$1</c:f>
              <c:strCache>
                <c:ptCount val="1"/>
                <c:pt idx="0">
                  <c:v>Январь-ноябрь 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92875762543334E-2"/>
                  <c:y val="5.878666876042239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F98-46BB-B85C-B0E01B9BA9B8}"/>
                </c:ext>
              </c:extLst>
            </c:dLbl>
            <c:dLbl>
              <c:idx val="1"/>
              <c:layout>
                <c:manualLayout>
                  <c:x val="2.1476445137190617E-2"/>
                  <c:y val="1.6242456872378117E-2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F98-46BB-B85C-B0E01B9BA9B8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C  Users s.batishev Desktop Итоги 2024 за 24 СОЦ. ЭКОНОМ. РАЗВИТИЕ ОКРУГА ЗА  2024 г..doc]Лист1'!$A$2:$A$3</c:f>
              <c:strCache>
                <c:ptCount val="2"/>
                <c:pt idx="0">
                  <c:v>Родилось, чел.</c:v>
                </c:pt>
                <c:pt idx="1">
                  <c:v>Умерло, чел.</c:v>
                </c:pt>
              </c:strCache>
            </c:strRef>
          </c:cat>
          <c:val>
            <c:numRef>
              <c:f>'[Диаграмма в C  Users s.batishev Desktop Итоги 2024 за 24 СОЦ. ЭКОНОМ. РАЗВИТИЕ ОКРУГА ЗА  2024 г..doc]Лист1'!$C$2:$C$3</c:f>
              <c:numCache>
                <c:formatCode>General</c:formatCode>
                <c:ptCount val="2"/>
                <c:pt idx="0">
                  <c:v>375</c:v>
                </c:pt>
                <c:pt idx="1">
                  <c:v>580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F98-46BB-B85C-B0E01B9BA9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1065378704"/>
        <c:axId val="1"/>
        <c:axId val="2"/>
      </c:bar3DChart>
      <c:catAx>
        <c:axId val="1065378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065378704"/>
        <c:crosses val="autoZero"/>
        <c:crossBetween val="between"/>
      </c:valAx>
      <c:serAx>
        <c:axId val="2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</c:ser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0"/>
      <c:rotY val="30"/>
      <c:depthPercent val="100"/>
      <c:rAngAx val="0"/>
      <c:perspective val="2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754209569957589E-2"/>
          <c:y val="0.17370714011067087"/>
          <c:w val="0.84190042398546339"/>
          <c:h val="0.5263603992176136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406859615521033E-2"/>
                  <c:y val="-1.5748629711884305E-2"/>
                </c:manualLayout>
              </c:layout>
              <c:spPr/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C0-451A-8AE1-38132EEA155C}"/>
                </c:ext>
              </c:extLst>
            </c:dLbl>
            <c:dLbl>
              <c:idx val="1"/>
              <c:layout>
                <c:manualLayout>
                  <c:x val="3.5742001844364046E-2"/>
                  <c:y val="-4.1001712392788161E-3"/>
                </c:manualLayout>
              </c:layout>
              <c:spPr/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C0-451A-8AE1-38132EEA155C}"/>
                </c:ext>
              </c:extLst>
            </c:dLbl>
            <c:dLbl>
              <c:idx val="2"/>
              <c:layout>
                <c:manualLayout>
                  <c:x val="2.4060627233882453E-2"/>
                  <c:y val="-8.4360413032203308E-3"/>
                </c:manualLayout>
              </c:layout>
              <c:spPr/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C0-451A-8AE1-38132EEA155C}"/>
                </c:ext>
              </c:extLst>
            </c:dLbl>
            <c:dLbl>
              <c:idx val="3"/>
              <c:layout>
                <c:manualLayout>
                  <c:x val="4.6414388842642524E-3"/>
                  <c:y val="-1.5401917490284004E-2"/>
                </c:manualLayout>
              </c:layout>
              <c:spPr/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C0-451A-8AE1-38132EEA155C}"/>
                </c:ext>
              </c:extLst>
            </c:dLbl>
            <c:spPr>
              <a:noFill/>
              <a:ln w="234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Отгружено товаров, млн. руб.</c:v>
                </c:pt>
                <c:pt idx="1">
                  <c:v>Обрабатывающие производства, млн. руб.</c:v>
                </c:pt>
                <c:pt idx="2">
                  <c:v>Обеспечение электрической энергией, газом и паром млн. руб.</c:v>
                </c:pt>
              </c:strCache>
            </c:strRef>
          </c:cat>
          <c:val>
            <c:numRef>
              <c:f>Лист1!$B$2:$B$4</c:f>
              <c:numCache>
                <c:formatCode>#,#00</c:formatCode>
                <c:ptCount val="3"/>
                <c:pt idx="0" formatCode="#,000">
                  <c:v>738.4</c:v>
                </c:pt>
                <c:pt idx="1">
                  <c:v>559.6</c:v>
                </c:pt>
                <c:pt idx="2">
                  <c:v>169.8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CC0-451A-8AE1-38132EEA15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87761175522351E-2"/>
                  <c:y val="-1.547659483741003E-2"/>
                </c:manualLayout>
              </c:layout>
              <c:spPr/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CC0-451A-8AE1-38132EEA155C}"/>
                </c:ext>
              </c:extLst>
            </c:dLbl>
            <c:dLbl>
              <c:idx val="1"/>
              <c:layout>
                <c:manualLayout>
                  <c:x val="2.2921032508731683E-2"/>
                  <c:y val="-1.9152605924259467E-2"/>
                </c:manualLayout>
              </c:layout>
              <c:spPr/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CC0-451A-8AE1-38132EEA155C}"/>
                </c:ext>
              </c:extLst>
            </c:dLbl>
            <c:dLbl>
              <c:idx val="2"/>
              <c:layout>
                <c:manualLayout>
                  <c:x val="4.307813719231042E-2"/>
                  <c:y val="-1.2089941748734399E-3"/>
                </c:manualLayout>
              </c:layout>
              <c:spPr/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CC0-451A-8AE1-38132EEA155C}"/>
                </c:ext>
              </c:extLst>
            </c:dLbl>
            <c:dLbl>
              <c:idx val="3"/>
              <c:layout>
                <c:manualLayout>
                  <c:x val="1.8518518518518615E-2"/>
                  <c:y val="-1.1904761904761911E-2"/>
                </c:manualLayout>
              </c:layout>
              <c:spPr/>
              <c:txPr>
                <a:bodyPr/>
                <a:lstStyle/>
                <a:p>
                  <a:pPr>
                    <a:defRPr sz="92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CC0-451A-8AE1-38132EEA155C}"/>
                </c:ext>
              </c:extLst>
            </c:dLbl>
            <c:spPr>
              <a:noFill/>
              <a:ln w="234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22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Отгружено товаров, млн. руб.</c:v>
                </c:pt>
                <c:pt idx="1">
                  <c:v>Обрабатывающие производства, млн. руб.</c:v>
                </c:pt>
                <c:pt idx="2">
                  <c:v>Обеспечение электрической энергией, газом и паром млн. руб.</c:v>
                </c:pt>
              </c:strCache>
            </c:strRef>
          </c:cat>
          <c:val>
            <c:numRef>
              <c:f>Лист1!$C$2:$C$4</c:f>
              <c:numCache>
                <c:formatCode>#,#00</c:formatCode>
                <c:ptCount val="3"/>
                <c:pt idx="0" formatCode="#,000">
                  <c:v>802.6</c:v>
                </c:pt>
                <c:pt idx="1">
                  <c:v>576.1</c:v>
                </c:pt>
                <c:pt idx="2">
                  <c:v>226.5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CC0-451A-8AE1-38132EEA15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4973600"/>
        <c:axId val="1"/>
        <c:axId val="2"/>
      </c:bar3DChart>
      <c:catAx>
        <c:axId val="124973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22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#,000" sourceLinked="1"/>
        <c:majorTickMark val="out"/>
        <c:minorTickMark val="none"/>
        <c:tickLblPos val="nextTo"/>
        <c:crossAx val="124973600"/>
        <c:crosses val="autoZero"/>
        <c:crossBetween val="between"/>
      </c:valAx>
      <c:serAx>
        <c:axId val="2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</c:serAx>
      <c:spPr>
        <a:noFill/>
        <a:ln w="23425">
          <a:noFill/>
        </a:ln>
      </c:spPr>
    </c:plotArea>
    <c:legend>
      <c:legendPos val="r"/>
      <c:overlay val="0"/>
      <c:txPr>
        <a:bodyPr/>
        <a:lstStyle/>
        <a:p>
          <a:pPr>
            <a:defRPr sz="655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922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C  Users s.batishev Desktop Итоги 2024 за 24 СОЦ. ЭКОНОМ. РАЗВИТИЕ ОКРУГА ЗА  2024 г..doc]Лист1'!$B$1</c:f>
              <c:strCache>
                <c:ptCount val="1"/>
                <c:pt idx="0">
                  <c:v>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9351851851851853E-2"/>
                  <c:y val="3.9682539682539689E-3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F0-4066-94CC-550A3BD9D74C}"/>
                </c:ext>
              </c:extLst>
            </c:dLbl>
            <c:dLbl>
              <c:idx val="1"/>
              <c:layout>
                <c:manualLayout>
                  <c:x val="-2.0833333333333332E-2"/>
                  <c:y val="-1.1904761904761904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F0-4066-94CC-550A3BD9D74C}"/>
                </c:ext>
              </c:extLst>
            </c:dLbl>
            <c:dLbl>
              <c:idx val="2"/>
              <c:layout>
                <c:manualLayout>
                  <c:x val="-1.1574074074074073E-2"/>
                  <c:y val="-1.587301587301587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F0-4066-94CC-550A3BD9D74C}"/>
                </c:ext>
              </c:extLst>
            </c:dLbl>
            <c:dLbl>
              <c:idx val="3"/>
              <c:layout>
                <c:manualLayout>
                  <c:x val="-1.3888888888888805E-2"/>
                  <c:y val="-2.7777777777777776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F0-4066-94CC-550A3BD9D74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C  Users s.batishev Desktop Итоги 2024 за 24 СОЦ. ЭКОНОМ. РАЗВИТИЕ ОКРУГА ЗА  2024 г..doc]Лист1'!$A$2:$A$4</c:f>
              <c:strCache>
                <c:ptCount val="3"/>
                <c:pt idx="0">
                  <c:v>КРС</c:v>
                </c:pt>
                <c:pt idx="1">
                  <c:v>Свиньи</c:v>
                </c:pt>
                <c:pt idx="2">
                  <c:v>Овцы</c:v>
                </c:pt>
              </c:strCache>
            </c:strRef>
          </c:cat>
          <c:val>
            <c:numRef>
              <c:f>'[Диаграмма в C  Users s.batishev Desktop Итоги 2024 за 24 СОЦ. ЭКОНОМ. РАЗВИТИЕ ОКРУГА ЗА  2024 г..doc]Лист1'!$B$2:$B$4</c:f>
              <c:numCache>
                <c:formatCode>General</c:formatCode>
                <c:ptCount val="3"/>
                <c:pt idx="0">
                  <c:v>13329</c:v>
                </c:pt>
                <c:pt idx="1">
                  <c:v>3820</c:v>
                </c:pt>
                <c:pt idx="2">
                  <c:v>17396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F0-4066-94CC-550A3BD9D74C}"/>
            </c:ext>
          </c:extLst>
        </c:ser>
        <c:ser>
          <c:idx val="1"/>
          <c:order val="1"/>
          <c:tx>
            <c:strRef>
              <c:f>'[Диаграмма в C  Users s.batishev Desktop Итоги 2024 за 24 СОЦ. ЭКОНОМ. РАЗВИТИЕ ОКРУГА ЗА  2024 г..doc]Лист1'!$C$1</c:f>
              <c:strCache>
                <c:ptCount val="1"/>
                <c:pt idx="0">
                  <c:v>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38888888888889E-2"/>
                  <c:y val="-1.9841269841269851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F0-4066-94CC-550A3BD9D74C}"/>
                </c:ext>
              </c:extLst>
            </c:dLbl>
            <c:dLbl>
              <c:idx val="1"/>
              <c:layout>
                <c:manualLayout>
                  <c:x val="1.3888706620005832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5F0-4066-94CC-550A3BD9D74C}"/>
                </c:ext>
              </c:extLst>
            </c:dLbl>
            <c:dLbl>
              <c:idx val="2"/>
              <c:layout>
                <c:manualLayout>
                  <c:x val="1.1574074074074073E-2"/>
                  <c:y val="-3.571428571428571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F0-4066-94CC-550A3BD9D74C}"/>
                </c:ext>
              </c:extLst>
            </c:dLbl>
            <c:dLbl>
              <c:idx val="3"/>
              <c:layout>
                <c:manualLayout>
                  <c:x val="3.0092592592592591E-2"/>
                  <c:y val="-2.3809523809523805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F0-4066-94CC-550A3BD9D74C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C  Users s.batishev Desktop Итоги 2024 за 24 СОЦ. ЭКОНОМ. РАЗВИТИЕ ОКРУГА ЗА  2024 г..doc]Лист1'!$A$2:$A$4</c:f>
              <c:strCache>
                <c:ptCount val="3"/>
                <c:pt idx="0">
                  <c:v>КРС</c:v>
                </c:pt>
                <c:pt idx="1">
                  <c:v>Свиньи</c:v>
                </c:pt>
                <c:pt idx="2">
                  <c:v>Овцы</c:v>
                </c:pt>
              </c:strCache>
            </c:strRef>
          </c:cat>
          <c:val>
            <c:numRef>
              <c:f>'[Диаграмма в C  Users s.batishev Desktop Итоги 2024 за 24 СОЦ. ЭКОНОМ. РАЗВИТИЕ ОКРУГА ЗА  2024 г..doc]Лист1'!$C$2:$C$4</c:f>
              <c:numCache>
                <c:formatCode>General</c:formatCode>
                <c:ptCount val="3"/>
                <c:pt idx="0">
                  <c:v>12799</c:v>
                </c:pt>
                <c:pt idx="1">
                  <c:v>3810</c:v>
                </c:pt>
                <c:pt idx="2">
                  <c:v>16510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E5F0-4066-94CC-550A3BD9D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9236928"/>
        <c:axId val="1"/>
        <c:axId val="0"/>
      </c:bar3DChart>
      <c:catAx>
        <c:axId val="1309236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092369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'[Диаграмма в C  Users s.batishev Desktop Итоги 2024 за 24 СОЦ. ЭКОНОМ. РАЗВИТИЕ ОКРУГА ЗА  2024 г..doc 2]Лист1'!$B$1</c:f>
              <c:strCache>
                <c:ptCount val="1"/>
                <c:pt idx="0">
                  <c:v>Прозведено молока, тыс. тонн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898748577929464E-2"/>
                  <c:y val="-2.9747702201431463E-2"/>
                </c:manualLayout>
              </c:layout>
              <c:spPr/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D27-450E-A4BB-E714CFA0C4CD}"/>
                </c:ext>
              </c:extLst>
            </c:dLbl>
            <c:dLbl>
              <c:idx val="1"/>
              <c:layout>
                <c:manualLayout>
                  <c:x val="1.5290102389078498E-2"/>
                  <c:y val="-1.7581234080057337E-2"/>
                </c:manualLayout>
              </c:layout>
              <c:spPr/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D27-450E-A4BB-E714CFA0C4C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C  Users s.batishev Desktop Итоги 2024 за 24 СОЦ. ЭКОНОМ. РАЗВИТИЕ ОКРУГА ЗА  2024 г..doc 2]Лист1'!$A$2:$A$3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'[Диаграмма в C  Users s.batishev Desktop Итоги 2024 за 24 СОЦ. ЭКОНОМ. РАЗВИТИЕ ОКРУГА ЗА  2024 г..doc 2]Лист1'!$B$2:$B$3</c:f>
              <c:numCache>
                <c:formatCode>General</c:formatCode>
                <c:ptCount val="2"/>
                <c:pt idx="0">
                  <c:v>43.17</c:v>
                </c:pt>
                <c:pt idx="1">
                  <c:v>41.64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27-450E-A4BB-E714CFA0C4CD}"/>
            </c:ext>
          </c:extLst>
        </c:ser>
        <c:ser>
          <c:idx val="1"/>
          <c:order val="1"/>
          <c:tx>
            <c:strRef>
              <c:f>'[Диаграмма в C  Users s.batishev Desktop Итоги 2024 за 24 СОЦ. ЭКОНОМ. РАЗВИТИЕ ОКРУГА ЗА  2024 г..doc 2]Лист1'!$C$1</c:f>
              <c:strCache>
                <c:ptCount val="1"/>
                <c:pt idx="0">
                  <c:v>Произведено мяса, тыс. тонн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328164610822966E-2"/>
                  <c:y val="-0.17807091456741339"/>
                </c:manualLayout>
              </c:layout>
              <c:spPr/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D27-450E-A4BB-E714CFA0C4CD}"/>
                </c:ext>
              </c:extLst>
            </c:dLbl>
            <c:dLbl>
              <c:idx val="1"/>
              <c:layout>
                <c:manualLayout>
                  <c:x val="2.6719697580464559E-2"/>
                  <c:y val="-0.17858693862529176"/>
                </c:manualLayout>
              </c:layout>
              <c:spPr/>
              <c:txPr>
                <a:bodyPr/>
                <a:lstStyle/>
                <a:p>
                  <a:pPr>
                    <a:defRPr sz="18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D27-450E-A4BB-E714CFA0C4C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8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C  Users s.batishev Desktop Итоги 2024 за 24 СОЦ. ЭКОНОМ. РАЗВИТИЕ ОКРУГА ЗА  2024 г..doc 2]Лист1'!$A$2:$A$3</c:f>
              <c:strCache>
                <c:ptCount val="2"/>
                <c:pt idx="0">
                  <c:v>2023 год</c:v>
                </c:pt>
                <c:pt idx="1">
                  <c:v>2024 год</c:v>
                </c:pt>
              </c:strCache>
            </c:strRef>
          </c:cat>
          <c:val>
            <c:numRef>
              <c:f>'[Диаграмма в C  Users s.batishev Desktop Итоги 2024 за 24 СОЦ. ЭКОНОМ. РАЗВИТИЕ ОКРУГА ЗА  2024 г..doc 2]Лист1'!$C$2:$C$3</c:f>
              <c:numCache>
                <c:formatCode>General</c:formatCode>
                <c:ptCount val="2"/>
                <c:pt idx="0">
                  <c:v>8.9</c:v>
                </c:pt>
                <c:pt idx="1">
                  <c:v>8.89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D27-450E-A4BB-E714CFA0C4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2612688"/>
        <c:axId val="1"/>
        <c:axId val="0"/>
      </c:bar3DChart>
      <c:catAx>
        <c:axId val="1312612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1261268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1536491728488333E-2"/>
          <c:y val="3.8800705467372153E-2"/>
          <c:w val="0.87680220006628862"/>
          <c:h val="0.4952730908636421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'[Диаграмма в C  Users s.batishev Desktop Итоги 2024 за 24 СОЦ. ЭКОНОМ. РАЗВИТИЕ ОКРУГА ЗА  2024 г..doc]Лист1'!$B$1</c:f>
              <c:strCache>
                <c:ptCount val="1"/>
                <c:pt idx="0">
                  <c:v>2023г.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03773615056122E-2"/>
                  <c:y val="-2.5132414003805049E-2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D26-4548-911B-65A70FF9B1B3}"/>
                </c:ext>
              </c:extLst>
            </c:dLbl>
            <c:dLbl>
              <c:idx val="1"/>
              <c:layout>
                <c:manualLayout>
                  <c:x val="1.3396325459317585E-3"/>
                  <c:y val="-8.7842011201591259E-3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D26-4548-911B-65A70FF9B1B3}"/>
                </c:ext>
              </c:extLst>
            </c:dLbl>
            <c:dLbl>
              <c:idx val="2"/>
              <c:layout>
                <c:manualLayout>
                  <c:x val="1.3603390900338371E-2"/>
                  <c:y val="-3.1746031746031744E-2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D26-4548-911B-65A70FF9B1B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C  Users s.batishev Desktop Итоги 2024 за 24 СОЦ. ЭКОНОМ. РАЗВИТИЕ ОКРУГА ЗА  2024 г..doc]Лист1'!$A$2:$A$4</c:f>
              <c:strCache>
                <c:ptCount val="3"/>
                <c:pt idx="0">
                  <c:v>Обратилось в ЦЗН, чел.</c:v>
                </c:pt>
                <c:pt idx="1">
                  <c:v>из них трудоустроено</c:v>
                </c:pt>
                <c:pt idx="2">
                  <c:v>Зарегистрировано в качестве безработных, чел.</c:v>
                </c:pt>
              </c:strCache>
            </c:strRef>
          </c:cat>
          <c:val>
            <c:numRef>
              <c:f>'[Диаграмма в C  Users s.batishev Desktop Итоги 2024 за 24 СОЦ. ЭКОНОМ. РАЗВИТИЕ ОКРУГА ЗА  2024 г..doc]Лист1'!$B$2:$B$4</c:f>
              <c:numCache>
                <c:formatCode>General</c:formatCode>
                <c:ptCount val="3"/>
                <c:pt idx="0">
                  <c:v>696</c:v>
                </c:pt>
                <c:pt idx="1">
                  <c:v>562</c:v>
                </c:pt>
                <c:pt idx="2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D26-4548-911B-65A70FF9B1B3}"/>
            </c:ext>
          </c:extLst>
        </c:ser>
        <c:ser>
          <c:idx val="1"/>
          <c:order val="1"/>
          <c:tx>
            <c:strRef>
              <c:f>'[Диаграмма в C  Users s.batishev Desktop Итоги 2024 за 24 СОЦ. ЭКОНОМ. РАЗВИТИЕ ОКРУГА ЗА  2024 г..doc]Лист1'!$C$1</c:f>
              <c:strCache>
                <c:ptCount val="1"/>
                <c:pt idx="0">
                  <c:v>2024г.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6065508934670842E-2"/>
                  <c:y val="-4.0564373897707243E-2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D26-4548-911B-65A70FF9B1B3}"/>
                </c:ext>
              </c:extLst>
            </c:dLbl>
            <c:dLbl>
              <c:idx val="1"/>
              <c:layout>
                <c:manualLayout>
                  <c:x val="1.3888948812905241E-2"/>
                  <c:y val="-2.8659750864475284E-2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26-4548-911B-65A70FF9B1B3}"/>
                </c:ext>
              </c:extLst>
            </c:dLbl>
            <c:dLbl>
              <c:idx val="2"/>
              <c:layout>
                <c:manualLayout>
                  <c:x val="1.3888948812905241E-2"/>
                  <c:y val="-3.0423141551750452E-2"/>
                </c:manualLayout>
              </c:layout>
              <c:spPr/>
              <c:txPr>
                <a:bodyPr/>
                <a:lstStyle/>
                <a:p>
                  <a:pPr>
                    <a:defRPr sz="14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26-4548-911B-65A70FF9B1B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C  Users s.batishev Desktop Итоги 2024 за 24 СОЦ. ЭКОНОМ. РАЗВИТИЕ ОКРУГА ЗА  2024 г..doc]Лист1'!$A$2:$A$4</c:f>
              <c:strCache>
                <c:ptCount val="3"/>
                <c:pt idx="0">
                  <c:v>Обратилось в ЦЗН, чел.</c:v>
                </c:pt>
                <c:pt idx="1">
                  <c:v>из них трудоустроено</c:v>
                </c:pt>
                <c:pt idx="2">
                  <c:v>Зарегистрировано в качестве безработных, чел.</c:v>
                </c:pt>
              </c:strCache>
            </c:strRef>
          </c:cat>
          <c:val>
            <c:numRef>
              <c:f>'[Диаграмма в C  Users s.batishev Desktop Итоги 2024 за 24 СОЦ. ЭКОНОМ. РАЗВИТИЕ ОКРУГА ЗА  2024 г..doc]Лист1'!$C$2:$C$4</c:f>
              <c:numCache>
                <c:formatCode>General</c:formatCode>
                <c:ptCount val="3"/>
                <c:pt idx="0">
                  <c:v>472</c:v>
                </c:pt>
                <c:pt idx="1">
                  <c:v>381</c:v>
                </c:pt>
                <c:pt idx="2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CD26-4548-911B-65A70FF9B1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8638176"/>
        <c:axId val="1"/>
        <c:axId val="2"/>
      </c:bar3DChart>
      <c:catAx>
        <c:axId val="130863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08638176"/>
        <c:crosses val="autoZero"/>
        <c:crossBetween val="between"/>
      </c:valAx>
      <c:serAx>
        <c:axId val="2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</c:ser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111714278036057"/>
          <c:y val="0.77139970711208261"/>
          <c:w val="0.23264733546531935"/>
          <c:h val="0.12739435872402738"/>
        </c:manualLayout>
      </c:layout>
      <c:overlay val="0"/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17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Батищев</dc:creator>
  <cp:keywords/>
  <dc:description/>
  <cp:lastModifiedBy>Сергей А. Батищев</cp:lastModifiedBy>
  <cp:revision>28</cp:revision>
  <dcterms:created xsi:type="dcterms:W3CDTF">2025-04-03T06:01:00Z</dcterms:created>
  <dcterms:modified xsi:type="dcterms:W3CDTF">2025-04-16T12:53:00Z</dcterms:modified>
</cp:coreProperties>
</file>