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9B" w:rsidRDefault="009F1B9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F1B9B" w:rsidRDefault="009F1B9B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F1B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15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right"/>
            </w:pPr>
            <w:r>
              <w:t>N 96-кз</w:t>
            </w:r>
          </w:p>
        </w:tc>
      </w:tr>
    </w:tbl>
    <w:p w:rsidR="009F1B9B" w:rsidRDefault="009F1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1B9B" w:rsidRDefault="009F1B9B">
      <w:pPr>
        <w:pStyle w:val="ConsPlusNormal"/>
      </w:pPr>
    </w:p>
    <w:p w:rsidR="009F1B9B" w:rsidRDefault="009F1B9B">
      <w:pPr>
        <w:pStyle w:val="ConsPlusTitle"/>
        <w:jc w:val="center"/>
      </w:pPr>
      <w:r>
        <w:t>ЗАКОН</w:t>
      </w:r>
    </w:p>
    <w:p w:rsidR="009F1B9B" w:rsidRDefault="009F1B9B">
      <w:pPr>
        <w:pStyle w:val="ConsPlusTitle"/>
        <w:jc w:val="center"/>
      </w:pPr>
      <w:r>
        <w:t>СТАВРОПОЛЬСКОГО КРАЯ</w:t>
      </w:r>
    </w:p>
    <w:p w:rsidR="009F1B9B" w:rsidRDefault="009F1B9B">
      <w:pPr>
        <w:pStyle w:val="ConsPlusTitle"/>
        <w:jc w:val="center"/>
      </w:pPr>
    </w:p>
    <w:p w:rsidR="009F1B9B" w:rsidRDefault="009F1B9B">
      <w:pPr>
        <w:pStyle w:val="ConsPlusTitle"/>
        <w:jc w:val="center"/>
      </w:pPr>
      <w:r>
        <w:t>О ПАТЕНТНОЙ СИСТЕМЕ НАЛОГООБЛОЖЕНИЯ</w:t>
      </w:r>
    </w:p>
    <w:p w:rsidR="009F1B9B" w:rsidRDefault="009F1B9B">
      <w:pPr>
        <w:pStyle w:val="ConsPlusNormal"/>
      </w:pPr>
    </w:p>
    <w:p w:rsidR="009F1B9B" w:rsidRDefault="009F1B9B">
      <w:pPr>
        <w:pStyle w:val="ConsPlusNormal"/>
        <w:jc w:val="right"/>
      </w:pPr>
      <w:proofErr w:type="gramStart"/>
      <w:r>
        <w:t>Принят</w:t>
      </w:r>
      <w:proofErr w:type="gramEnd"/>
    </w:p>
    <w:p w:rsidR="009F1B9B" w:rsidRDefault="009F1B9B">
      <w:pPr>
        <w:pStyle w:val="ConsPlusNormal"/>
        <w:jc w:val="right"/>
      </w:pPr>
      <w:r>
        <w:t>Думой Ставропольского края</w:t>
      </w:r>
    </w:p>
    <w:p w:rsidR="009F1B9B" w:rsidRDefault="009F1B9B">
      <w:pPr>
        <w:pStyle w:val="ConsPlusNormal"/>
        <w:jc w:val="right"/>
      </w:pPr>
      <w:r>
        <w:t>27 сентября 2012 года</w:t>
      </w:r>
    </w:p>
    <w:p w:rsidR="009F1B9B" w:rsidRDefault="009F1B9B">
      <w:pPr>
        <w:pStyle w:val="ConsPlusNormal"/>
        <w:jc w:val="center"/>
      </w:pPr>
      <w:r>
        <w:t>Список изменяющих документов</w:t>
      </w:r>
    </w:p>
    <w:p w:rsidR="009F1B9B" w:rsidRDefault="009F1B9B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Ставропольского края</w:t>
      </w:r>
      <w:proofErr w:type="gramEnd"/>
    </w:p>
    <w:p w:rsidR="009F1B9B" w:rsidRDefault="009F1B9B">
      <w:pPr>
        <w:pStyle w:val="ConsPlusNormal"/>
        <w:jc w:val="center"/>
      </w:pPr>
      <w:r>
        <w:t>от 28.11.2014 N 105-кз)</w:t>
      </w:r>
    </w:p>
    <w:p w:rsidR="009F1B9B" w:rsidRDefault="009F1B9B">
      <w:pPr>
        <w:pStyle w:val="ConsPlusNormal"/>
      </w:pPr>
    </w:p>
    <w:p w:rsidR="009F1B9B" w:rsidRDefault="009F1B9B">
      <w:pPr>
        <w:pStyle w:val="ConsPlusNormal"/>
        <w:ind w:firstLine="540"/>
        <w:jc w:val="both"/>
      </w:pPr>
      <w:r>
        <w:t>Статья 1</w:t>
      </w:r>
    </w:p>
    <w:p w:rsidR="009F1B9B" w:rsidRDefault="009F1B9B">
      <w:pPr>
        <w:pStyle w:val="ConsPlusNormal"/>
      </w:pPr>
    </w:p>
    <w:p w:rsidR="009F1B9B" w:rsidRDefault="009F1B9B">
      <w:pPr>
        <w:pStyle w:val="ConsPlusNormal"/>
        <w:ind w:firstLine="540"/>
        <w:jc w:val="both"/>
      </w:pPr>
      <w:r>
        <w:t xml:space="preserve">Настоящим Законом в соответствии с Налоговым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на территории Ставропольского края вводится в действие патентная система налогообложения.</w:t>
      </w:r>
    </w:p>
    <w:p w:rsidR="009F1B9B" w:rsidRDefault="009F1B9B">
      <w:pPr>
        <w:pStyle w:val="ConsPlusNormal"/>
        <w:ind w:firstLine="540"/>
        <w:jc w:val="both"/>
      </w:pPr>
      <w:hyperlink w:anchor="P45" w:history="1">
        <w:r>
          <w:rPr>
            <w:color w:val="0000FF"/>
          </w:rPr>
          <w:t>Размер</w:t>
        </w:r>
      </w:hyperlink>
      <w:r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устанавливается на 2015 год с учетом особенностей ведения предпринимательской деятельности и дифференцирования территории Ставропольского края по муниципальным образованиям Ставропольского края (группам муниципальных образований Ставропольского края) согласно приложению к настоящему Закону.</w:t>
      </w:r>
    </w:p>
    <w:p w:rsidR="009F1B9B" w:rsidRDefault="009F1B9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Ставропольского края от 28.11.2014 N 105-кз)</w:t>
      </w:r>
    </w:p>
    <w:p w:rsidR="009F1B9B" w:rsidRDefault="009F1B9B">
      <w:pPr>
        <w:pStyle w:val="ConsPlusNormal"/>
      </w:pPr>
    </w:p>
    <w:p w:rsidR="009F1B9B" w:rsidRDefault="009F1B9B">
      <w:pPr>
        <w:pStyle w:val="ConsPlusNormal"/>
        <w:ind w:firstLine="540"/>
        <w:jc w:val="both"/>
      </w:pPr>
      <w:r>
        <w:t>Статья 2</w:t>
      </w:r>
    </w:p>
    <w:p w:rsidR="009F1B9B" w:rsidRDefault="009F1B9B">
      <w:pPr>
        <w:pStyle w:val="ConsPlusNormal"/>
      </w:pPr>
    </w:p>
    <w:p w:rsidR="009F1B9B" w:rsidRDefault="009F1B9B">
      <w:pPr>
        <w:pStyle w:val="ConsPlusNormal"/>
        <w:ind w:firstLine="540"/>
        <w:jc w:val="both"/>
      </w:pPr>
      <w:r>
        <w:t>1. Настоящий Закон вступает в силу с 1 января 2013 года.</w:t>
      </w:r>
    </w:p>
    <w:p w:rsidR="009F1B9B" w:rsidRDefault="009F1B9B">
      <w:pPr>
        <w:pStyle w:val="ConsPlusNormal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9F1B9B" w:rsidRDefault="009F1B9B">
      <w:pPr>
        <w:pStyle w:val="ConsPlusNormal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Закон</w:t>
        </w:r>
      </w:hyperlink>
      <w:r>
        <w:t xml:space="preserve"> Ставропольского края от 13 октября 2009 г. N 68-кз "Об упрощенной системе налогообложения на основе патента";</w:t>
      </w:r>
    </w:p>
    <w:p w:rsidR="009F1B9B" w:rsidRDefault="009F1B9B">
      <w:pPr>
        <w:pStyle w:val="ConsPlusNormal"/>
        <w:ind w:firstLine="540"/>
        <w:jc w:val="both"/>
      </w:pPr>
      <w:proofErr w:type="gramStart"/>
      <w:r>
        <w:t xml:space="preserve">2) </w:t>
      </w:r>
      <w:hyperlink r:id="rId10" w:history="1">
        <w:r>
          <w:rPr>
            <w:color w:val="0000FF"/>
          </w:rPr>
          <w:t>Закон</w:t>
        </w:r>
      </w:hyperlink>
      <w:r>
        <w:t xml:space="preserve"> Ставропольского края от 14 октября 2010 г. N 86-кз "О внесении изменений в Закон Ставропольского края "Об упрощенной системе налогообложения на основе патента";</w:t>
      </w:r>
      <w:proofErr w:type="gramEnd"/>
    </w:p>
    <w:p w:rsidR="009F1B9B" w:rsidRDefault="009F1B9B">
      <w:pPr>
        <w:pStyle w:val="ConsPlusNormal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Закон</w:t>
        </w:r>
      </w:hyperlink>
      <w:r>
        <w:t xml:space="preserve"> Ставропольского края от 07 октября 2011 г. N 72-кз "О внесении изменения в статью 1 Закона Ставропольского края "Об упрощенной системе налогообложения на основе патента".</w:t>
      </w:r>
    </w:p>
    <w:p w:rsidR="009F1B9B" w:rsidRDefault="009F1B9B">
      <w:pPr>
        <w:pStyle w:val="ConsPlusNormal"/>
      </w:pPr>
    </w:p>
    <w:p w:rsidR="009F1B9B" w:rsidRDefault="009F1B9B">
      <w:pPr>
        <w:pStyle w:val="ConsPlusNormal"/>
        <w:jc w:val="right"/>
      </w:pPr>
      <w:r>
        <w:t>Губернатор</w:t>
      </w:r>
    </w:p>
    <w:p w:rsidR="009F1B9B" w:rsidRDefault="009F1B9B">
      <w:pPr>
        <w:pStyle w:val="ConsPlusNormal"/>
        <w:jc w:val="right"/>
      </w:pPr>
      <w:r>
        <w:t>Ставропольского края</w:t>
      </w:r>
    </w:p>
    <w:p w:rsidR="009F1B9B" w:rsidRDefault="009F1B9B">
      <w:pPr>
        <w:pStyle w:val="ConsPlusNormal"/>
        <w:jc w:val="right"/>
      </w:pPr>
      <w:r>
        <w:t>В.Г.ЗЕРЕНКОВ</w:t>
      </w:r>
    </w:p>
    <w:p w:rsidR="009F1B9B" w:rsidRDefault="009F1B9B">
      <w:pPr>
        <w:pStyle w:val="ConsPlusNormal"/>
      </w:pPr>
      <w:r>
        <w:t>г. Ставрополь</w:t>
      </w:r>
    </w:p>
    <w:p w:rsidR="009F1B9B" w:rsidRDefault="009F1B9B">
      <w:pPr>
        <w:pStyle w:val="ConsPlusNormal"/>
      </w:pPr>
      <w:r>
        <w:t>15 октября 2012 г.</w:t>
      </w:r>
    </w:p>
    <w:p w:rsidR="009F1B9B" w:rsidRDefault="009F1B9B">
      <w:pPr>
        <w:pStyle w:val="ConsPlusNormal"/>
      </w:pPr>
      <w:r>
        <w:t>N 96-кз</w:t>
      </w:r>
    </w:p>
    <w:p w:rsidR="009F1B9B" w:rsidRDefault="009F1B9B">
      <w:pPr>
        <w:pStyle w:val="ConsPlusNormal"/>
      </w:pPr>
    </w:p>
    <w:p w:rsidR="009F1B9B" w:rsidRDefault="009F1B9B">
      <w:pPr>
        <w:pStyle w:val="ConsPlusNormal"/>
      </w:pPr>
    </w:p>
    <w:p w:rsidR="009F1B9B" w:rsidRDefault="009F1B9B">
      <w:pPr>
        <w:pStyle w:val="ConsPlusNormal"/>
      </w:pPr>
    </w:p>
    <w:p w:rsidR="009F1B9B" w:rsidRDefault="009F1B9B">
      <w:pPr>
        <w:pStyle w:val="ConsPlusNormal"/>
      </w:pPr>
    </w:p>
    <w:p w:rsidR="009F1B9B" w:rsidRDefault="009F1B9B">
      <w:pPr>
        <w:pStyle w:val="ConsPlusNormal"/>
      </w:pPr>
    </w:p>
    <w:p w:rsidR="009F1B9B" w:rsidRDefault="009F1B9B">
      <w:pPr>
        <w:pStyle w:val="ConsPlusNormal"/>
        <w:jc w:val="right"/>
      </w:pPr>
      <w:r>
        <w:t>Приложение</w:t>
      </w:r>
    </w:p>
    <w:p w:rsidR="009F1B9B" w:rsidRDefault="009F1B9B">
      <w:pPr>
        <w:pStyle w:val="ConsPlusNormal"/>
        <w:jc w:val="right"/>
      </w:pPr>
      <w:r>
        <w:t>к Закону Ставропольского края</w:t>
      </w:r>
    </w:p>
    <w:p w:rsidR="009F1B9B" w:rsidRDefault="009F1B9B">
      <w:pPr>
        <w:pStyle w:val="ConsPlusNormal"/>
        <w:jc w:val="right"/>
      </w:pPr>
      <w:r>
        <w:lastRenderedPageBreak/>
        <w:t>"О патентной системе налогообложения"</w:t>
      </w:r>
    </w:p>
    <w:p w:rsidR="009F1B9B" w:rsidRDefault="009F1B9B">
      <w:pPr>
        <w:pStyle w:val="ConsPlusNormal"/>
      </w:pPr>
    </w:p>
    <w:p w:rsidR="009F1B9B" w:rsidRDefault="009F1B9B">
      <w:pPr>
        <w:pStyle w:val="ConsPlusNormal"/>
        <w:jc w:val="center"/>
      </w:pPr>
      <w:bookmarkStart w:id="0" w:name="P45"/>
      <w:bookmarkEnd w:id="0"/>
      <w:r>
        <w:t>РАЗМЕР</w:t>
      </w:r>
    </w:p>
    <w:p w:rsidR="009F1B9B" w:rsidRDefault="009F1B9B">
      <w:pPr>
        <w:pStyle w:val="ConsPlusNormal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9F1B9B" w:rsidRDefault="009F1B9B">
      <w:pPr>
        <w:pStyle w:val="ConsPlusNormal"/>
        <w:jc w:val="center"/>
      </w:pPr>
      <w:r>
        <w:t>предпринимателем годового дохода по видам</w:t>
      </w:r>
    </w:p>
    <w:p w:rsidR="009F1B9B" w:rsidRDefault="009F1B9B">
      <w:pPr>
        <w:pStyle w:val="ConsPlusNormal"/>
        <w:jc w:val="center"/>
      </w:pPr>
      <w:r>
        <w:t>предпринимательской деятельности, в отношении которых</w:t>
      </w:r>
    </w:p>
    <w:p w:rsidR="009F1B9B" w:rsidRDefault="009F1B9B">
      <w:pPr>
        <w:pStyle w:val="ConsPlusNormal"/>
        <w:jc w:val="center"/>
      </w:pPr>
      <w:r>
        <w:t>применяется патентная система налогообложения, на 2015 год</w:t>
      </w:r>
    </w:p>
    <w:p w:rsidR="009F1B9B" w:rsidRDefault="009F1B9B">
      <w:pPr>
        <w:pStyle w:val="ConsPlusNormal"/>
        <w:jc w:val="center"/>
      </w:pPr>
      <w:r>
        <w:t>Список изменяющих документов</w:t>
      </w:r>
    </w:p>
    <w:p w:rsidR="009F1B9B" w:rsidRDefault="009F1B9B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Ставропольского края</w:t>
      </w:r>
      <w:proofErr w:type="gramEnd"/>
    </w:p>
    <w:p w:rsidR="009F1B9B" w:rsidRDefault="009F1B9B">
      <w:pPr>
        <w:pStyle w:val="ConsPlusNormal"/>
        <w:jc w:val="center"/>
      </w:pPr>
      <w:r>
        <w:t>от 28.11.2014 N 105-кз)</w:t>
      </w:r>
    </w:p>
    <w:p w:rsidR="009F1B9B" w:rsidRDefault="009F1B9B">
      <w:pPr>
        <w:sectPr w:rsidR="009F1B9B" w:rsidSect="00B122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1B9B" w:rsidRDefault="009F1B9B">
      <w:pPr>
        <w:pStyle w:val="ConsPlusNormal"/>
      </w:pPr>
    </w:p>
    <w:p w:rsidR="009F1B9B" w:rsidRDefault="009F1B9B">
      <w:pPr>
        <w:pStyle w:val="ConsPlusNormal"/>
        <w:jc w:val="right"/>
      </w:pPr>
      <w:r>
        <w:t>(тыс. рублей)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96"/>
        <w:gridCol w:w="1118"/>
        <w:gridCol w:w="1123"/>
        <w:gridCol w:w="1118"/>
        <w:gridCol w:w="1123"/>
        <w:gridCol w:w="1118"/>
        <w:gridCol w:w="1128"/>
      </w:tblGrid>
      <w:tr w:rsidR="009F1B9B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B9B" w:rsidRDefault="009F1B9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B9B" w:rsidRDefault="009F1B9B">
            <w:pPr>
              <w:pStyle w:val="ConsPlusNormal"/>
              <w:jc w:val="center"/>
            </w:pPr>
            <w:r>
              <w:t>Виды предпринимательской деятельности, осуществляемые на территориях городских округов Ставропольского края, городских и сельских поселений Ставропольского края</w:t>
            </w:r>
          </w:p>
        </w:tc>
        <w:tc>
          <w:tcPr>
            <w:tcW w:w="67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</w:t>
            </w:r>
          </w:p>
        </w:tc>
      </w:tr>
      <w:tr w:rsidR="009F1B9B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/>
        </w:tc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/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по муниципальным образованиям Ставропольского края с численностью населения до 5 тыс. человек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по муниципальным образованиям Ставропольского края с численностью населения от 5 тыс. человек до 15 тыс. человек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по муниципальным образованиям Ставропольского края с численностью населения от 15 тыс. человек до 50 тыс. человек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по муниципальным образованиям Ставропольского края с численностью населения от 50 тыс. человек до 150 тыс. человек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по муниципальным образованиям Ставропольского края с численностью населения свыше 150 тыс. человек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по муниципальному образованию Этокскому сельсовету Предгорного района Ставропольского края</w:t>
            </w:r>
          </w:p>
        </w:tc>
      </w:tr>
      <w:tr w:rsidR="009F1B9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9F1B9B" w:rsidRDefault="009F1B9B">
            <w:pPr>
              <w:pStyle w:val="ConsPlusNormal"/>
              <w:jc w:val="center"/>
            </w:pPr>
            <w:r>
              <w:t>8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Ремонт, чистка, окраска и пошив обуви: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1) ремонт, чистка и окраска обуви: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2) пошив обуви: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Парикмахерские и косметические услуги: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Химическая чистка, крашение и услуги прачечных: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1) ремонт и техническое обслуживание бытовой радиоэлектронной аппаратуры, бытовых машин и бытовых приборов: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 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2) ремонт часов: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3) ремонт и изготовление </w:t>
            </w:r>
            <w:r>
              <w:lastRenderedPageBreak/>
              <w:t>металлоизделий: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Ремонт мебели: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кинолабораторий: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Техническое обслуживание и ремонт автотранспортных и мототранспортных средств, машин и оборудования: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1800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Оказание автотранспортных услуг по перевозке грузов автомобильным транспортом при количестве транспортных средств: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1 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единиц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единиц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перевозка пассажиров по регулярным маршрутам (в городском </w:t>
            </w:r>
            <w:r>
              <w:lastRenderedPageBreak/>
              <w:t>сообщении)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 xml:space="preserve">300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 xml:space="preserve">, но не </w:t>
            </w:r>
            <w:r>
              <w:lastRenderedPageBreak/>
              <w:t>более 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 xml:space="preserve">300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 xml:space="preserve">, но не </w:t>
            </w:r>
            <w:r>
              <w:lastRenderedPageBreak/>
              <w:t>более 3000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 xml:space="preserve">300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 xml:space="preserve">, но не </w:t>
            </w:r>
            <w:r>
              <w:lastRenderedPageBreak/>
              <w:t>более 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 xml:space="preserve">300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 xml:space="preserve">, но не </w:t>
            </w:r>
            <w:r>
              <w:lastRenderedPageBreak/>
              <w:t>более 3000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 xml:space="preserve">300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 xml:space="preserve">, но не </w:t>
            </w:r>
            <w:r>
              <w:lastRenderedPageBreak/>
              <w:t>более 3000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 xml:space="preserve">300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 xml:space="preserve">, но не </w:t>
            </w:r>
            <w:r>
              <w:lastRenderedPageBreak/>
              <w:t>более 3000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перевозка пассажиров по регулярным маршрутам (в пригородном сообщении)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перевозка пассажиров легковыми таксомоторами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перевозка пассажиров по регулярным маршрутам (в междугородном и международном сообщении)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600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600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600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600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600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600 </w:t>
            </w:r>
            <w:hyperlink w:anchor="P2351" w:history="1">
              <w:r>
                <w:rPr>
                  <w:color w:val="0000FF"/>
                </w:rPr>
                <w:t>&lt;*&gt;</w:t>
              </w:r>
            </w:hyperlink>
            <w:r>
              <w:t>, но не более 3000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Ремонт жилья и других построек: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both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без наемных работников при </w:t>
            </w:r>
            <w:r>
              <w:lastRenderedPageBreak/>
              <w:t>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Услуги по обучению населения на курсах и </w:t>
            </w:r>
            <w:proofErr w:type="gramStart"/>
            <w:r>
              <w:t>по</w:t>
            </w:r>
            <w:proofErr w:type="gramEnd"/>
          </w:p>
          <w:p w:rsidR="009F1B9B" w:rsidRDefault="009F1B9B">
            <w:pPr>
              <w:pStyle w:val="ConsPlusNormal"/>
            </w:pPr>
            <w:r>
              <w:t>репетиторству: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по присмотру и уходу за детьми и больными: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Услуги по приему стеклопосуды и </w:t>
            </w:r>
            <w:proofErr w:type="gramStart"/>
            <w:r>
              <w:t>вторичного</w:t>
            </w:r>
            <w:proofErr w:type="gramEnd"/>
          </w:p>
          <w:p w:rsidR="009F1B9B" w:rsidRDefault="009F1B9B">
            <w:pPr>
              <w:pStyle w:val="ConsPlusNormal"/>
            </w:pPr>
            <w:r>
              <w:t>сырья, за исключением металлолома: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Ветеринарные услуги: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при средней численности наемных </w:t>
            </w:r>
            <w:r>
              <w:lastRenderedPageBreak/>
              <w:t>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собственности, в том числе: нежилого недвижимого имущества: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общей площадью до 50 м</w:t>
            </w:r>
            <w:proofErr w:type="gramStart"/>
            <w:r>
              <w:t>2</w:t>
            </w:r>
            <w:proofErr w:type="gramEnd"/>
            <w:r>
              <w:t xml:space="preserve"> включительно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200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250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350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400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500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500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свыше 50 м</w:t>
            </w:r>
            <w:proofErr w:type="gramStart"/>
            <w:r>
              <w:t>2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 и 6 за каждый последующий</w:t>
            </w:r>
          </w:p>
          <w:p w:rsidR="009F1B9B" w:rsidRDefault="009F1B9B">
            <w:pPr>
              <w:pStyle w:val="ConsPlusNormal"/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 и 7,5 за каждый последующий 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 и 10,5 за каждый последующий 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 и 12 за каждый последующий</w:t>
            </w:r>
          </w:p>
          <w:p w:rsidR="009F1B9B" w:rsidRDefault="009F1B9B">
            <w:pPr>
              <w:pStyle w:val="ConsPlusNormal"/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 и 15 за каждый последующий</w:t>
            </w:r>
          </w:p>
          <w:p w:rsidR="009F1B9B" w:rsidRDefault="009F1B9B">
            <w:pPr>
              <w:pStyle w:val="ConsPlusNormal"/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 и 15 за каждый последующий</w:t>
            </w:r>
          </w:p>
          <w:p w:rsidR="009F1B9B" w:rsidRDefault="009F1B9B">
            <w:pPr>
              <w:pStyle w:val="ConsPlusNormal"/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жилого недвижимого имущества: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общей площадью до 30 м</w:t>
            </w:r>
            <w:proofErr w:type="gramStart"/>
            <w:r>
              <w:t>2</w:t>
            </w:r>
            <w:proofErr w:type="gramEnd"/>
            <w:r>
              <w:t xml:space="preserve"> включительно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60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75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105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120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150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150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свыше 30 м</w:t>
            </w:r>
            <w:proofErr w:type="gramStart"/>
            <w:r>
              <w:t>2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 и 4 за каждый последую</w:t>
            </w:r>
            <w:r>
              <w:lastRenderedPageBreak/>
              <w:t>щий</w:t>
            </w:r>
          </w:p>
          <w:p w:rsidR="009F1B9B" w:rsidRDefault="009F1B9B">
            <w:pPr>
              <w:pStyle w:val="ConsPlusNormal"/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>75 и 5 за каждый последую</w:t>
            </w:r>
            <w:r>
              <w:lastRenderedPageBreak/>
              <w:t>щий 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>105 и 7 за каждый последую</w:t>
            </w:r>
            <w:r>
              <w:lastRenderedPageBreak/>
              <w:t>щий</w:t>
            </w:r>
          </w:p>
          <w:p w:rsidR="009F1B9B" w:rsidRDefault="009F1B9B">
            <w:pPr>
              <w:pStyle w:val="ConsPlusNormal"/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>120 и 8 за каждый последую</w:t>
            </w:r>
            <w:r>
              <w:lastRenderedPageBreak/>
              <w:t>щий</w:t>
            </w:r>
          </w:p>
          <w:p w:rsidR="009F1B9B" w:rsidRDefault="009F1B9B">
            <w:pPr>
              <w:pStyle w:val="ConsPlusNormal"/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 xml:space="preserve">150 и 10 за каждый </w:t>
            </w:r>
            <w:r>
              <w:lastRenderedPageBreak/>
              <w:t>последующий</w:t>
            </w:r>
          </w:p>
          <w:p w:rsidR="009F1B9B" w:rsidRDefault="009F1B9B">
            <w:pPr>
              <w:pStyle w:val="ConsPlusNormal"/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>150 и 10 за каждый последую</w:t>
            </w:r>
            <w:r>
              <w:lastRenderedPageBreak/>
              <w:t>щий</w:t>
            </w:r>
          </w:p>
          <w:p w:rsidR="009F1B9B" w:rsidRDefault="009F1B9B">
            <w:pPr>
              <w:pStyle w:val="ConsPlusNormal"/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w:anchor="P2352" w:history="1">
              <w:r>
                <w:rPr>
                  <w:color w:val="0000FF"/>
                </w:rPr>
                <w:t>&lt;**&gt;</w:t>
              </w:r>
            </w:hyperlink>
            <w:r>
              <w:t>, но не более 10000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Изготовление изделий народных художественных промыслов: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proofErr w:type="gramStart"/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</w:t>
            </w:r>
            <w:r>
              <w:lastRenderedPageBreak/>
              <w:t>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Производство и реставрация ковров </w:t>
            </w:r>
            <w:r>
              <w:lastRenderedPageBreak/>
              <w:t>и ковровых изделий: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Ремонт ювелирных изделий, бижутерии: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Чеканка и гравировка ювелирных изделий: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both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по уборке жилых помещений и ведению домашнего хозяйства: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Проведение занятий по физической культуре и спорту: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both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при средней численности наемных </w:t>
            </w:r>
            <w:r>
              <w:lastRenderedPageBreak/>
              <w:t>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платных туалетов: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поваров по изготовлению блюд на дому: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Оказание услуг по перевозке пассажиров водным транспортом </w:t>
            </w:r>
            <w:r>
              <w:lastRenderedPageBreak/>
              <w:t>при количестве транспортных средств: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1 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2 до 5 единиц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единиц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Оказание услуг по перевозке грузов водным транспортом при количестве транспортных средств: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1 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2 до 5 единиц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свыше 5 единиц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транспортировка):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Услуги, связанные с обслуживанием </w:t>
            </w:r>
            <w:r>
              <w:lastRenderedPageBreak/>
              <w:t>сельскохозяйственного производства (механизированные, агрохимические, мелиоративные, транспортные работы):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по зеленому хозяйству и декоративному цветоводству: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Ведение охотничьего хозяйства и осуществление охоты</w:t>
            </w:r>
          </w:p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Осуществление частной детективной деятельности лицом, имеющим лицензию: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по прокату: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Экскурсионные услуги: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Обрядовые услуги: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900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Ритуальные услуги: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900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уличных патрулей, охранников, сторожей и вахтеров: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при средней численности наемных работников: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до 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5 до 10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250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от 10 до 15 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м</w:t>
            </w:r>
            <w:proofErr w:type="gramStart"/>
            <w:r>
              <w:t>2</w:t>
            </w:r>
            <w:proofErr w:type="gramEnd"/>
            <w:r>
              <w:t xml:space="preserve"> по каждому объекту организации торговли: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1) изделиями из меха, одеждой из кожи, обувью и изделиями из кожи, изделиями из кожи и дорожными принадлежностями, мебелью и товарами для дома, бытовыми электротоварами, радио- и телеаппаратурой, предметами </w:t>
            </w:r>
            <w:r>
              <w:lastRenderedPageBreak/>
              <w:t>антиквариата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 xml:space="preserve">240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300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420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480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600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600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2) иными товарами, за исключением торговли изделиями из меха, одеждой из кожи, обувью и изделиями из кожи, изделиями из кожи и дорожными принадлежностями, мебелью и товарами для дома, бытовыми электротоварами, радио- и телеаппаратурой, предметами антиквариата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160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200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280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320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400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400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в том числе:</w:t>
            </w:r>
          </w:p>
          <w:p w:rsidR="009F1B9B" w:rsidRDefault="009F1B9B">
            <w:pPr>
              <w:pStyle w:val="ConsPlusNormal"/>
            </w:pPr>
            <w:r>
              <w:t>1)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торговли):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 xml:space="preserve">изделиями из меха, одеждой из кожи, обувью и изделиями из кожи, изделиями из кожи и дорожными принадлежностями, мебелью и товарами для дома, бытовыми электротоварами, радио- и телеаппаратурой, предметами </w:t>
            </w:r>
            <w:r>
              <w:lastRenderedPageBreak/>
              <w:t>антиквариата;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lastRenderedPageBreak/>
              <w:t xml:space="preserve">160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200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280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320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400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400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иными товарами, за исключением торговли изделиями из меха, одеждой из кожи, обувью и изделиями из кожи, изделиями из кожи и дорожными принадлежностями, мебелью и товарами для дома, бытовыми электротоварами, радио- и телеаппаратурой, предметами антиквариата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120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150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210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240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300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300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2) розничная торговля, осуществляемая передвижными средствами развозной и разносной торговли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120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120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120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120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120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 xml:space="preserve">120 </w:t>
            </w:r>
            <w:hyperlink w:anchor="P2353" w:history="1">
              <w:r>
                <w:rPr>
                  <w:color w:val="0000FF"/>
                </w:rPr>
                <w:t>&lt;***&gt;</w:t>
              </w:r>
            </w:hyperlink>
            <w:r>
              <w:t>, но не более 10000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м</w:t>
            </w:r>
            <w:proofErr w:type="gramStart"/>
            <w:r>
              <w:t>2</w:t>
            </w:r>
            <w:proofErr w:type="gramEnd"/>
            <w:r>
              <w:t xml:space="preserve"> по каждому объекту организации общественного питания: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площадью зала обслуживания посетителей до 15 м</w:t>
            </w:r>
            <w:proofErr w:type="gramStart"/>
            <w:r>
              <w:t>2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площадью зала обслуживания посетителей от 15 до 30 м</w:t>
            </w:r>
            <w:proofErr w:type="gramStart"/>
            <w:r>
              <w:t>2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1000</w:t>
            </w:r>
          </w:p>
        </w:tc>
      </w:tr>
      <w:tr w:rsidR="009F1B9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</w:pPr>
            <w:r>
              <w:t>площадью зала обслуживания посетителей от 30 до 50 м</w:t>
            </w:r>
            <w:proofErr w:type="gramStart"/>
            <w:r>
              <w:t>2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F1B9B" w:rsidRDefault="009F1B9B">
            <w:pPr>
              <w:pStyle w:val="ConsPlusNormal"/>
              <w:jc w:val="center"/>
            </w:pPr>
            <w:r>
              <w:t>1500</w:t>
            </w:r>
          </w:p>
        </w:tc>
      </w:tr>
    </w:tbl>
    <w:p w:rsidR="009F1B9B" w:rsidRDefault="009F1B9B">
      <w:pPr>
        <w:pStyle w:val="ConsPlusNormal"/>
      </w:pPr>
    </w:p>
    <w:p w:rsidR="009F1B9B" w:rsidRDefault="009F1B9B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9F1B9B" w:rsidRDefault="009F1B9B">
      <w:pPr>
        <w:pStyle w:val="ConsPlusNormal"/>
        <w:ind w:firstLine="540"/>
        <w:jc w:val="both"/>
      </w:pPr>
      <w:bookmarkStart w:id="1" w:name="P2351"/>
      <w:bookmarkEnd w:id="1"/>
      <w:r>
        <w:t>&lt;*&gt; Размер потенциально возможного к получению годового дохода за каждое транспортное средство.</w:t>
      </w:r>
    </w:p>
    <w:p w:rsidR="009F1B9B" w:rsidRDefault="009F1B9B">
      <w:pPr>
        <w:pStyle w:val="ConsPlusNormal"/>
        <w:ind w:firstLine="540"/>
        <w:jc w:val="both"/>
      </w:pPr>
      <w:bookmarkStart w:id="2" w:name="P2352"/>
      <w:bookmarkEnd w:id="2"/>
      <w:r>
        <w:t>&lt;**&gt; Размер потенциально возможного к получению годового дохода на один обособленный объект.</w:t>
      </w:r>
    </w:p>
    <w:p w:rsidR="009F1B9B" w:rsidRDefault="009F1B9B">
      <w:pPr>
        <w:pStyle w:val="ConsPlusNormal"/>
        <w:ind w:firstLine="540"/>
        <w:jc w:val="both"/>
      </w:pPr>
      <w:bookmarkStart w:id="3" w:name="P2353"/>
      <w:bookmarkEnd w:id="3"/>
      <w:r>
        <w:t>&lt;***&gt; Размер потенциально возможного к получению годового дохода на один обособленный объект организации торговли.</w:t>
      </w:r>
    </w:p>
    <w:p w:rsidR="009F1B9B" w:rsidRDefault="009F1B9B">
      <w:pPr>
        <w:pStyle w:val="ConsPlusNormal"/>
      </w:pPr>
    </w:p>
    <w:p w:rsidR="009F1B9B" w:rsidRDefault="009F1B9B">
      <w:pPr>
        <w:pStyle w:val="ConsPlusNormal"/>
      </w:pPr>
    </w:p>
    <w:p w:rsidR="009F1B9B" w:rsidRDefault="009F1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352" w:rsidRDefault="007F4352">
      <w:bookmarkStart w:id="4" w:name="_GoBack"/>
      <w:bookmarkEnd w:id="4"/>
    </w:p>
    <w:sectPr w:rsidR="007F4352" w:rsidSect="00875C2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9B"/>
    <w:rsid w:val="007F4352"/>
    <w:rsid w:val="009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1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1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1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1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1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1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1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1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1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1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F8A703899D87919A65BEB506F0539DB7CF98D44F4F35139BBDE92B8B1D1A4D466FD720BA447FE0DBD14k2m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5F8A703899D87919A645E646035B33DD70AE804DFDFA0560E485CFEFB8DBF39329A43649A0k4m0J" TargetMode="External"/><Relationship Id="rId12" Type="http://schemas.openxmlformats.org/officeDocument/2006/relationships/hyperlink" Target="consultantplus://offline/ref=3F5F8A703899D87919A65BEB506F0539DB7CF98D44F4F35139BBDE92B8B1D1A4D466FD720BA447FE0DBD15k2m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5F8A703899D87919A65BEB506F0539DB7CF98D44F4F35139BBDE92B8B1D1A4D466FD720BA447FE0DBD14k2mEJ" TargetMode="External"/><Relationship Id="rId11" Type="http://schemas.openxmlformats.org/officeDocument/2006/relationships/hyperlink" Target="consultantplus://offline/ref=3F5F8A703899D87919A65BEB506F0539DB7CF98D48F4F1503DBBDE92B8B1D1A4kDm4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F5F8A703899D87919A65BEB506F0539DB7CF98D4FF6F2523FBBDE92B8B1D1A4kDm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5F8A703899D87919A65BEB506F0539DB7CF98D48F4F0523EBBDE92B8B1D1A4kDm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3886</Words>
  <Characters>22156</Characters>
  <Application>Microsoft Office Word</Application>
  <DocSecurity>0</DocSecurity>
  <Lines>184</Lines>
  <Paragraphs>51</Paragraphs>
  <ScaleCrop>false</ScaleCrop>
  <Company>ААМР</Company>
  <LinksUpToDate>false</LinksUpToDate>
  <CharactersWithSpaces>25991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Евгеньевич</dc:creator>
  <cp:keywords/>
  <dc:description/>
  <cp:lastModifiedBy>Игорь Евгеньевич</cp:lastModifiedBy>
  <cp:revision>1</cp:revision>
  <dcterms:created xsi:type="dcterms:W3CDTF">2015-11-05T09:38:00Z</dcterms:created>
  <dcterms:modified xsi:type="dcterms:W3CDTF">2015-11-05T09:40:00Z</dcterms:modified>
</cp:coreProperties>
</file>