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04" w:rsidRDefault="00A95F8D">
      <w:pPr>
        <w:jc w:val="center"/>
        <w:rPr>
          <w:szCs w:val="28"/>
        </w:rPr>
      </w:pPr>
      <w:bookmarkStart w:id="0" w:name="_GoBack"/>
      <w:bookmarkEnd w:id="0"/>
      <w:r>
        <w:rPr>
          <w:b/>
          <w:bCs/>
          <w:szCs w:val="28"/>
        </w:rPr>
        <w:t>СОВЕТ ДЕПУТАТОВ</w:t>
      </w:r>
    </w:p>
    <w:p w:rsidR="000F3504" w:rsidRDefault="00A95F8D">
      <w:pPr>
        <w:tabs>
          <w:tab w:val="left" w:pos="3420"/>
        </w:tabs>
        <w:jc w:val="center"/>
        <w:rPr>
          <w:szCs w:val="28"/>
        </w:rPr>
      </w:pPr>
      <w:r>
        <w:rPr>
          <w:b/>
          <w:bCs/>
          <w:szCs w:val="28"/>
        </w:rPr>
        <w:t>АЛЕКСАНДРОВСКОГО МУНИЦИПАЛЬНОГО ОКРУГА</w:t>
      </w:r>
    </w:p>
    <w:p w:rsidR="000F3504" w:rsidRDefault="00A95F8D">
      <w:pPr>
        <w:tabs>
          <w:tab w:val="left" w:pos="3420"/>
        </w:tabs>
        <w:jc w:val="center"/>
        <w:rPr>
          <w:szCs w:val="28"/>
        </w:rPr>
      </w:pPr>
      <w:r>
        <w:rPr>
          <w:b/>
          <w:bCs/>
          <w:szCs w:val="28"/>
        </w:rPr>
        <w:t>СТАВРОПОЛЬСКОГО КРАЯ</w:t>
      </w:r>
    </w:p>
    <w:p w:rsidR="000F3504" w:rsidRDefault="000F3504">
      <w:pPr>
        <w:tabs>
          <w:tab w:val="left" w:pos="3705"/>
          <w:tab w:val="left" w:pos="4095"/>
          <w:tab w:val="center" w:pos="4677"/>
        </w:tabs>
        <w:rPr>
          <w:bCs/>
          <w:szCs w:val="28"/>
        </w:rPr>
      </w:pPr>
    </w:p>
    <w:p w:rsidR="000F3504" w:rsidRDefault="00A95F8D">
      <w:pPr>
        <w:tabs>
          <w:tab w:val="left" w:pos="3705"/>
          <w:tab w:val="left" w:pos="4095"/>
          <w:tab w:val="center" w:pos="4677"/>
        </w:tabs>
        <w:jc w:val="center"/>
        <w:rPr>
          <w:szCs w:val="28"/>
        </w:rPr>
      </w:pPr>
      <w:r>
        <w:rPr>
          <w:szCs w:val="28"/>
        </w:rPr>
        <w:t>Р Е Ш Е Н И Е</w:t>
      </w:r>
    </w:p>
    <w:p w:rsidR="000F3504" w:rsidRDefault="000F3504">
      <w:pPr>
        <w:tabs>
          <w:tab w:val="left" w:pos="3705"/>
          <w:tab w:val="left" w:pos="4095"/>
          <w:tab w:val="center" w:pos="4677"/>
        </w:tabs>
        <w:jc w:val="center"/>
        <w:rPr>
          <w:szCs w:val="28"/>
        </w:rPr>
      </w:pPr>
    </w:p>
    <w:p w:rsidR="000F3504" w:rsidRDefault="00A95F8D">
      <w:pPr>
        <w:tabs>
          <w:tab w:val="left" w:pos="4095"/>
        </w:tabs>
        <w:jc w:val="both"/>
        <w:rPr>
          <w:szCs w:val="28"/>
        </w:rPr>
      </w:pPr>
      <w:r>
        <w:rPr>
          <w:szCs w:val="28"/>
        </w:rPr>
        <w:t>19 мая 2023 года                        с. Александровское                                   № 699/78</w:t>
      </w:r>
    </w:p>
    <w:p w:rsidR="000F3504" w:rsidRDefault="000F3504">
      <w:pPr>
        <w:tabs>
          <w:tab w:val="left" w:pos="4095"/>
        </w:tabs>
        <w:jc w:val="both"/>
        <w:rPr>
          <w:szCs w:val="28"/>
        </w:rPr>
      </w:pPr>
    </w:p>
    <w:p w:rsidR="000F3504" w:rsidRDefault="00A95F8D">
      <w:pPr>
        <w:tabs>
          <w:tab w:val="left" w:pos="4095"/>
        </w:tabs>
        <w:spacing w:line="240" w:lineRule="exact"/>
        <w:jc w:val="both"/>
        <w:rPr>
          <w:szCs w:val="28"/>
        </w:rPr>
      </w:pPr>
      <w:r>
        <w:rPr>
          <w:bCs/>
          <w:szCs w:val="28"/>
        </w:rPr>
        <w:t xml:space="preserve">Об утверждении отчета о результатах деятельности </w:t>
      </w:r>
      <w:r>
        <w:rPr>
          <w:bCs/>
          <w:szCs w:val="28"/>
        </w:rPr>
        <w:t>Контрольно-счетной палаты Александровского муниципального округа Ставропольского края за 2022 год</w:t>
      </w:r>
    </w:p>
    <w:p w:rsidR="000F3504" w:rsidRDefault="000F3504">
      <w:pPr>
        <w:tabs>
          <w:tab w:val="left" w:pos="4095"/>
        </w:tabs>
        <w:rPr>
          <w:szCs w:val="28"/>
        </w:rPr>
      </w:pPr>
    </w:p>
    <w:p w:rsidR="000F3504" w:rsidRDefault="000F3504">
      <w:pPr>
        <w:tabs>
          <w:tab w:val="left" w:pos="4095"/>
        </w:tabs>
        <w:rPr>
          <w:szCs w:val="28"/>
        </w:rPr>
      </w:pPr>
    </w:p>
    <w:p w:rsidR="000F3504" w:rsidRDefault="00A95F8D">
      <w:pPr>
        <w:ind w:firstLine="709"/>
        <w:jc w:val="both"/>
      </w:pPr>
      <w:r>
        <w:rPr>
          <w:szCs w:val="28"/>
        </w:rPr>
        <w:t xml:space="preserve">В соответствии Федеральным </w:t>
      </w:r>
      <w:hyperlink r:id="rId7">
        <w:r>
          <w:rPr>
            <w:szCs w:val="28"/>
          </w:rPr>
          <w:t>законом</w:t>
        </w:r>
      </w:hyperlink>
      <w:r>
        <w:rPr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Александровского муниципально</w:t>
      </w:r>
      <w:r>
        <w:rPr>
          <w:szCs w:val="28"/>
        </w:rPr>
        <w:t>го округа Ставропольского края, утвержденным решением Совета депутатов Александровского муниципального округа Ставропольского края от                  29 сентября 2021 года № 335/188, Совет депутатов Александровского муниципального округа Ставропольского к</w:t>
      </w:r>
      <w:r>
        <w:rPr>
          <w:szCs w:val="28"/>
        </w:rPr>
        <w:t>рая</w:t>
      </w:r>
    </w:p>
    <w:p w:rsidR="000F3504" w:rsidRDefault="000F3504">
      <w:pPr>
        <w:ind w:firstLine="709"/>
        <w:jc w:val="both"/>
        <w:rPr>
          <w:szCs w:val="28"/>
        </w:rPr>
      </w:pP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РЕШИЛ:</w:t>
      </w:r>
    </w:p>
    <w:p w:rsidR="000F3504" w:rsidRDefault="000F3504">
      <w:pPr>
        <w:jc w:val="both"/>
        <w:rPr>
          <w:szCs w:val="28"/>
        </w:rPr>
      </w:pP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1. Утвердить прилагаемый отчет о результатах деятельности Контрольно-счетной палаты Александровского муниципального округа Ставропольского края за 2022 год.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2. Признать деятельность Контрольно-счетной палаты Александровского муниципального окр</w:t>
      </w:r>
      <w:r>
        <w:rPr>
          <w:szCs w:val="28"/>
        </w:rPr>
        <w:t>уга Ставропольского края за 2022 год удовлетворительной.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3. Разместить отчет о результатах деятельности Контрольно-счетной палаты Александровского муниципального округа Ставропольского края за 2022 год на официальном сайте администрации Александровского му</w:t>
      </w:r>
      <w:r>
        <w:rPr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4. Контроль за исполнением настоящего решения оставляю за собой.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5. Настоящее решение вступает в силу со дня его подписания.</w:t>
      </w:r>
    </w:p>
    <w:p w:rsidR="000F3504" w:rsidRDefault="000F3504">
      <w:pPr>
        <w:ind w:firstLine="709"/>
        <w:jc w:val="both"/>
        <w:rPr>
          <w:szCs w:val="28"/>
        </w:rPr>
      </w:pPr>
    </w:p>
    <w:p w:rsidR="000F3504" w:rsidRDefault="000F3504">
      <w:pPr>
        <w:ind w:firstLine="709"/>
        <w:jc w:val="both"/>
        <w:rPr>
          <w:szCs w:val="28"/>
        </w:rPr>
      </w:pPr>
    </w:p>
    <w:p w:rsidR="000F3504" w:rsidRDefault="000F3504">
      <w:pPr>
        <w:ind w:firstLine="709"/>
        <w:jc w:val="both"/>
        <w:rPr>
          <w:szCs w:val="28"/>
        </w:rPr>
      </w:pPr>
    </w:p>
    <w:p w:rsidR="000F3504" w:rsidRDefault="00A95F8D">
      <w:pPr>
        <w:tabs>
          <w:tab w:val="left" w:pos="4095"/>
        </w:tabs>
        <w:spacing w:line="240" w:lineRule="exact"/>
        <w:jc w:val="both"/>
        <w:rPr>
          <w:szCs w:val="28"/>
        </w:rPr>
      </w:pPr>
      <w:r>
        <w:rPr>
          <w:szCs w:val="28"/>
        </w:rPr>
        <w:t xml:space="preserve">Председатель </w:t>
      </w:r>
    </w:p>
    <w:p w:rsidR="000F3504" w:rsidRDefault="00A95F8D">
      <w:pPr>
        <w:tabs>
          <w:tab w:val="left" w:pos="4095"/>
        </w:tabs>
        <w:spacing w:line="240" w:lineRule="exact"/>
        <w:jc w:val="both"/>
        <w:rPr>
          <w:szCs w:val="28"/>
        </w:rPr>
      </w:pPr>
      <w:r>
        <w:rPr>
          <w:szCs w:val="28"/>
        </w:rPr>
        <w:t>Совета депутатов</w:t>
      </w:r>
    </w:p>
    <w:p w:rsidR="000F3504" w:rsidRDefault="00A95F8D">
      <w:pPr>
        <w:tabs>
          <w:tab w:val="left" w:pos="4095"/>
        </w:tabs>
        <w:spacing w:line="240" w:lineRule="exact"/>
        <w:jc w:val="both"/>
        <w:rPr>
          <w:szCs w:val="28"/>
        </w:rPr>
      </w:pPr>
      <w:r>
        <w:rPr>
          <w:szCs w:val="28"/>
        </w:rPr>
        <w:t>Александровского</w:t>
      </w:r>
    </w:p>
    <w:p w:rsidR="000F3504" w:rsidRDefault="00A95F8D">
      <w:pPr>
        <w:tabs>
          <w:tab w:val="left" w:pos="4095"/>
        </w:tabs>
        <w:spacing w:line="240" w:lineRule="exact"/>
        <w:jc w:val="both"/>
        <w:rPr>
          <w:szCs w:val="28"/>
        </w:rPr>
      </w:pPr>
      <w:r>
        <w:rPr>
          <w:szCs w:val="28"/>
        </w:rPr>
        <w:t>муниципального округа</w:t>
      </w:r>
    </w:p>
    <w:p w:rsidR="000F3504" w:rsidRDefault="00A95F8D">
      <w:pPr>
        <w:tabs>
          <w:tab w:val="left" w:pos="4095"/>
        </w:tabs>
        <w:spacing w:line="240" w:lineRule="exact"/>
        <w:jc w:val="both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    О.Н. Босова</w:t>
      </w:r>
    </w:p>
    <w:p w:rsidR="000F3504" w:rsidRDefault="000F3504">
      <w:pPr>
        <w:tabs>
          <w:tab w:val="left" w:pos="4095"/>
        </w:tabs>
        <w:spacing w:line="240" w:lineRule="exact"/>
        <w:jc w:val="both"/>
        <w:rPr>
          <w:szCs w:val="28"/>
        </w:rPr>
        <w:sectPr w:rsidR="000F3504">
          <w:pgSz w:w="11906" w:h="16838"/>
          <w:pgMar w:top="1247" w:right="567" w:bottom="1247" w:left="1701" w:header="0" w:footer="0" w:gutter="0"/>
          <w:cols w:space="720"/>
          <w:formProt w:val="0"/>
          <w:docGrid w:linePitch="360"/>
        </w:sectPr>
      </w:pPr>
    </w:p>
    <w:p w:rsidR="000F3504" w:rsidRDefault="000F3504">
      <w:pPr>
        <w:spacing w:line="240" w:lineRule="atLeast"/>
        <w:rPr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5896"/>
        <w:gridCol w:w="3958"/>
      </w:tblGrid>
      <w:tr w:rsidR="000F3504">
        <w:tc>
          <w:tcPr>
            <w:tcW w:w="5895" w:type="dxa"/>
            <w:shd w:val="clear" w:color="auto" w:fill="auto"/>
          </w:tcPr>
          <w:p w:rsidR="000F3504" w:rsidRDefault="000F3504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958" w:type="dxa"/>
            <w:shd w:val="clear" w:color="auto" w:fill="auto"/>
          </w:tcPr>
          <w:p w:rsidR="000F3504" w:rsidRDefault="00A95F8D">
            <w:pPr>
              <w:widowControl w:val="0"/>
              <w:spacing w:after="120"/>
            </w:pPr>
            <w:r>
              <w:rPr>
                <w:bCs/>
                <w:szCs w:val="28"/>
              </w:rPr>
              <w:t>УТВЕРЖДЕН</w:t>
            </w:r>
          </w:p>
          <w:p w:rsidR="000F3504" w:rsidRDefault="00A95F8D">
            <w:pPr>
              <w:widowControl w:val="0"/>
              <w:spacing w:line="240" w:lineRule="exact"/>
            </w:pPr>
            <w:r>
              <w:rPr>
                <w:bCs/>
                <w:szCs w:val="28"/>
              </w:rPr>
              <w:t>решением</w:t>
            </w:r>
          </w:p>
          <w:p w:rsidR="000F3504" w:rsidRDefault="00A95F8D">
            <w:pPr>
              <w:widowControl w:val="0"/>
              <w:spacing w:line="240" w:lineRule="exact"/>
            </w:pPr>
            <w:r>
              <w:rPr>
                <w:bCs/>
                <w:szCs w:val="28"/>
              </w:rPr>
              <w:t>Совета депутатов</w:t>
            </w:r>
          </w:p>
          <w:p w:rsidR="000F3504" w:rsidRDefault="00A95F8D">
            <w:pPr>
              <w:widowControl w:val="0"/>
              <w:spacing w:line="240" w:lineRule="exact"/>
            </w:pPr>
            <w:r>
              <w:rPr>
                <w:bCs/>
                <w:szCs w:val="28"/>
              </w:rPr>
              <w:t>Александровского</w:t>
            </w:r>
          </w:p>
          <w:p w:rsidR="000F3504" w:rsidRDefault="00A95F8D">
            <w:pPr>
              <w:widowControl w:val="0"/>
              <w:spacing w:line="240" w:lineRule="exact"/>
            </w:pPr>
            <w:r>
              <w:rPr>
                <w:bCs/>
                <w:szCs w:val="28"/>
              </w:rPr>
              <w:t>муниципального округа</w:t>
            </w:r>
          </w:p>
          <w:p w:rsidR="000F3504" w:rsidRDefault="00A95F8D">
            <w:pPr>
              <w:widowControl w:val="0"/>
              <w:spacing w:line="240" w:lineRule="exact"/>
            </w:pPr>
            <w:r>
              <w:rPr>
                <w:bCs/>
                <w:szCs w:val="28"/>
              </w:rPr>
              <w:t>Ставрополь</w:t>
            </w:r>
            <w:r>
              <w:rPr>
                <w:bCs/>
                <w:szCs w:val="28"/>
              </w:rPr>
              <w:t>ского края</w:t>
            </w:r>
          </w:p>
          <w:p w:rsidR="000F3504" w:rsidRDefault="00A95F8D">
            <w:pPr>
              <w:widowControl w:val="0"/>
              <w:spacing w:line="240" w:lineRule="exact"/>
            </w:pPr>
            <w:r>
              <w:rPr>
                <w:bCs/>
                <w:szCs w:val="28"/>
              </w:rPr>
              <w:t>от 19 мая 2023 года № 699/78</w:t>
            </w:r>
          </w:p>
          <w:p w:rsidR="000F3504" w:rsidRDefault="000F3504">
            <w:pPr>
              <w:widowControl w:val="0"/>
              <w:jc w:val="center"/>
              <w:rPr>
                <w:b/>
                <w:bCs/>
                <w:szCs w:val="28"/>
              </w:rPr>
            </w:pPr>
          </w:p>
        </w:tc>
      </w:tr>
    </w:tbl>
    <w:p w:rsidR="000F3504" w:rsidRDefault="000F3504">
      <w:pPr>
        <w:jc w:val="center"/>
        <w:rPr>
          <w:b/>
          <w:bCs/>
          <w:szCs w:val="28"/>
        </w:rPr>
      </w:pPr>
    </w:p>
    <w:p w:rsidR="000F3504" w:rsidRDefault="00A95F8D">
      <w:pPr>
        <w:spacing w:line="0" w:lineRule="atLeast"/>
        <w:jc w:val="center"/>
        <w:rPr>
          <w:szCs w:val="28"/>
        </w:rPr>
      </w:pPr>
      <w:r>
        <w:rPr>
          <w:szCs w:val="28"/>
        </w:rPr>
        <w:t>ОТЧЕТ</w:t>
      </w:r>
    </w:p>
    <w:p w:rsidR="000F3504" w:rsidRDefault="00A95F8D">
      <w:pPr>
        <w:spacing w:line="0" w:lineRule="atLeast"/>
        <w:jc w:val="center"/>
        <w:rPr>
          <w:szCs w:val="28"/>
        </w:rPr>
      </w:pPr>
      <w:r>
        <w:rPr>
          <w:szCs w:val="28"/>
        </w:rPr>
        <w:t>о результатах деятельности Контрольно-счетной палаты Александровского муниципального округа Ставропольского края</w:t>
      </w:r>
    </w:p>
    <w:p w:rsidR="000F3504" w:rsidRDefault="000F3504">
      <w:pPr>
        <w:spacing w:line="0" w:lineRule="atLeast"/>
        <w:jc w:val="center"/>
        <w:rPr>
          <w:szCs w:val="28"/>
        </w:rPr>
      </w:pPr>
    </w:p>
    <w:p w:rsidR="000F3504" w:rsidRDefault="00A95F8D">
      <w:pPr>
        <w:spacing w:line="0" w:lineRule="atLeast"/>
        <w:jc w:val="both"/>
        <w:rPr>
          <w:szCs w:val="28"/>
        </w:rPr>
      </w:pPr>
      <w:r>
        <w:rPr>
          <w:szCs w:val="28"/>
        </w:rPr>
        <w:t xml:space="preserve">Основные показатели деятельности Контрольно-счетной палаты Александровского муниципального </w:t>
      </w:r>
      <w:r>
        <w:rPr>
          <w:szCs w:val="28"/>
        </w:rPr>
        <w:t>округа Ставропольского края за 2022 год</w:t>
      </w:r>
    </w:p>
    <w:p w:rsidR="000F3504" w:rsidRDefault="000F3504">
      <w:pPr>
        <w:spacing w:line="0" w:lineRule="atLeast"/>
        <w:jc w:val="both"/>
        <w:rPr>
          <w:szCs w:val="28"/>
        </w:rPr>
      </w:pPr>
    </w:p>
    <w:p w:rsidR="000F3504" w:rsidRDefault="000F3504">
      <w:pPr>
        <w:spacing w:line="0" w:lineRule="atLeast"/>
        <w:jc w:val="both"/>
        <w:rPr>
          <w:szCs w:val="28"/>
        </w:rPr>
      </w:pPr>
    </w:p>
    <w:tbl>
      <w:tblPr>
        <w:tblW w:w="972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365"/>
        <w:gridCol w:w="6540"/>
        <w:gridCol w:w="1817"/>
      </w:tblGrid>
      <w:tr w:rsidR="000F3504">
        <w:trPr>
          <w:trHeight w:val="90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360" w:lineRule="auto"/>
              <w:ind w:firstLine="70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360" w:lineRule="auto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Показатель</w:t>
            </w:r>
          </w:p>
        </w:tc>
      </w:tr>
      <w:tr w:rsidR="000F3504">
        <w:trPr>
          <w:trHeight w:val="595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Проведено контрольных и экспертно-аналитических мероприятий (ед.)</w:t>
            </w:r>
          </w:p>
          <w:p w:rsidR="000F3504" w:rsidRDefault="000F3504">
            <w:pPr>
              <w:widowControl w:val="0"/>
              <w:spacing w:line="240" w:lineRule="atLeast"/>
              <w:ind w:firstLine="709"/>
              <w:jc w:val="both"/>
              <w:rPr>
                <w:color w:val="000000"/>
                <w:sz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79</w:t>
            </w:r>
          </w:p>
        </w:tc>
      </w:tr>
      <w:tr w:rsidR="000F3504">
        <w:trPr>
          <w:trHeight w:val="118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</w:rPr>
            </w:pPr>
          </w:p>
        </w:tc>
      </w:tr>
      <w:tr w:rsidR="000F3504">
        <w:trPr>
          <w:trHeight w:val="189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контрольных мероприятий (ед.), в том числе количество объектов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11(42)</w:t>
            </w:r>
          </w:p>
        </w:tc>
      </w:tr>
      <w:tr w:rsidR="000F3504">
        <w:trPr>
          <w:trHeight w:val="208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экспертно-аналитических мероприятий (ед.), в том числе количество объектов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68 (114)</w:t>
            </w:r>
          </w:p>
        </w:tc>
      </w:tr>
      <w:tr w:rsidR="000F3504">
        <w:trPr>
          <w:trHeight w:val="208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</w:rPr>
            </w:pPr>
          </w:p>
        </w:tc>
      </w:tr>
      <w:tr w:rsidR="000F3504">
        <w:trPr>
          <w:trHeight w:val="491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проведено мероприятий на основании поручений представительного органа муниципального образования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8</w:t>
            </w:r>
          </w:p>
        </w:tc>
      </w:tr>
      <w:tr w:rsidR="000F3504">
        <w:trPr>
          <w:trHeight w:val="779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проведено мероприятий на </w:t>
            </w:r>
            <w:r>
              <w:rPr>
                <w:color w:val="000000"/>
                <w:sz w:val="24"/>
              </w:rPr>
              <w:t>основании предложений и запросов главы муниципального образования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34</w:t>
            </w:r>
          </w:p>
        </w:tc>
      </w:tr>
      <w:tr w:rsidR="000F3504">
        <w:trPr>
          <w:trHeight w:val="123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аудита в сфере закупок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F3504">
        <w:trPr>
          <w:trHeight w:val="123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Принято участие в контрольной и экспертно-аналитической деятельности КСО субъекта РФ в рамках проведения совместных и параллельных </w:t>
            </w:r>
            <w:r>
              <w:rPr>
                <w:color w:val="000000"/>
                <w:sz w:val="24"/>
              </w:rPr>
              <w:t>мероприятий со Счетной палатой РФ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F3504">
        <w:trPr>
          <w:trHeight w:val="123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94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</w:rPr>
            </w:pPr>
          </w:p>
        </w:tc>
      </w:tr>
      <w:tr w:rsidR="000F3504">
        <w:trPr>
          <w:trHeight w:val="123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контрольных мероприятиях субъекта РФ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F3504">
        <w:trPr>
          <w:trHeight w:val="123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экспертно-аналитических мероприятиях субъекта РФ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F3504">
        <w:trPr>
          <w:trHeight w:val="529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Проведено аудитов эффективности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F3504">
        <w:trPr>
          <w:trHeight w:val="1010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Подготовлено экспертное заключение на</w:t>
            </w:r>
            <w:r>
              <w:rPr>
                <w:color w:val="000000"/>
                <w:sz w:val="24"/>
              </w:rPr>
              <w:t xml:space="preserve"> проект местного бюджета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0F3504">
        <w:trPr>
          <w:trHeight w:val="29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Подготовлено экспертных заключений по результатам </w:t>
            </w:r>
            <w:r>
              <w:rPr>
                <w:color w:val="000000"/>
                <w:sz w:val="24"/>
              </w:rPr>
              <w:lastRenderedPageBreak/>
              <w:t>финансово-экономической экспертизы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lastRenderedPageBreak/>
              <w:t>47</w:t>
            </w:r>
          </w:p>
        </w:tc>
      </w:tr>
      <w:tr w:rsidR="000F3504">
        <w:trPr>
          <w:trHeight w:val="79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3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</w:rPr>
            </w:pPr>
          </w:p>
        </w:tc>
      </w:tr>
      <w:tr w:rsidR="000F3504">
        <w:trPr>
          <w:trHeight w:val="529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5.1.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проектов муниципальных правовых актов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19</w:t>
            </w:r>
          </w:p>
        </w:tc>
      </w:tr>
      <w:tr w:rsidR="000F3504">
        <w:trPr>
          <w:trHeight w:val="551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муниципальных программ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28</w:t>
            </w:r>
          </w:p>
        </w:tc>
      </w:tr>
      <w:tr w:rsidR="000F3504">
        <w:trPr>
          <w:trHeight w:val="27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Объемы </w:t>
            </w:r>
            <w:r>
              <w:rPr>
                <w:color w:val="000000"/>
                <w:sz w:val="24"/>
              </w:rPr>
              <w:t>проверенных средств, 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17 188 678,16</w:t>
            </w:r>
          </w:p>
        </w:tc>
      </w:tr>
      <w:tr w:rsidR="000F3504">
        <w:trPr>
          <w:trHeight w:val="27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3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</w:tr>
      <w:tr w:rsidR="000F3504">
        <w:trPr>
          <w:trHeight w:val="27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6.1. 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 проведении контрольных мероприятий, 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916 291,13</w:t>
            </w:r>
          </w:p>
        </w:tc>
      </w:tr>
      <w:tr w:rsidR="000F3504">
        <w:trPr>
          <w:trHeight w:val="27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 проведении экспертно-аналитических мероприятий, 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16 272 387,03</w:t>
            </w:r>
          </w:p>
        </w:tc>
      </w:tr>
      <w:tr w:rsidR="000F3504">
        <w:trPr>
          <w:trHeight w:val="27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Объемы финансовых нарушений, </w:t>
            </w:r>
            <w:r>
              <w:rPr>
                <w:color w:val="000000"/>
                <w:sz w:val="24"/>
              </w:rPr>
              <w:t>выявленных контрольно-счетным органом (без неэффективного использования муниципальных средств), ед./тыс. рублей</w:t>
            </w:r>
          </w:p>
          <w:p w:rsidR="000F3504" w:rsidRDefault="000F3504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340/61 135,99</w:t>
            </w:r>
          </w:p>
        </w:tc>
      </w:tr>
      <w:tr w:rsidR="000F3504">
        <w:trPr>
          <w:trHeight w:val="27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rPr>
                <w:color w:val="000000"/>
                <w:sz w:val="24"/>
              </w:rPr>
            </w:pPr>
          </w:p>
        </w:tc>
      </w:tr>
      <w:tr w:rsidR="000F3504">
        <w:trPr>
          <w:trHeight w:val="27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Нецелевое использование бюджетных средств, ед./тыс.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0/0</w:t>
            </w:r>
          </w:p>
        </w:tc>
      </w:tr>
      <w:tr w:rsidR="000F3504">
        <w:trPr>
          <w:trHeight w:val="419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нарушения при формировании и исполнении</w:t>
            </w:r>
            <w:r>
              <w:rPr>
                <w:color w:val="000000"/>
                <w:sz w:val="24"/>
              </w:rPr>
              <w:t xml:space="preserve"> бюджета, ед./тыс.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25/843,17</w:t>
            </w:r>
          </w:p>
        </w:tc>
      </w:tr>
      <w:tr w:rsidR="000F3504">
        <w:trPr>
          <w:trHeight w:val="898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7.3.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нарушения ведения бухгалтерского учета, составления и представления бухгалтерской (финансовой) отчетности, ед./тыс. рублей.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37/22 037,54</w:t>
            </w:r>
          </w:p>
        </w:tc>
      </w:tr>
      <w:tr w:rsidR="000F3504">
        <w:trPr>
          <w:trHeight w:val="783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7.4.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нарушения в сфере управления и распоряжения муниципальной </w:t>
            </w:r>
            <w:r>
              <w:rPr>
                <w:color w:val="000000"/>
                <w:sz w:val="24"/>
              </w:rPr>
              <w:t>собственностью, ед./тыс. рублей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178/19 958,07</w:t>
            </w:r>
          </w:p>
        </w:tc>
      </w:tr>
      <w:tr w:rsidR="000F3504">
        <w:trPr>
          <w:trHeight w:val="938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7.5.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нарушения при осуществлении муниципальных закупок и закупок отдельными видами юридических лиц, ед./тыс.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9/9 749,26</w:t>
            </w:r>
          </w:p>
        </w:tc>
      </w:tr>
      <w:tr w:rsidR="000F3504">
        <w:trPr>
          <w:trHeight w:val="938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7.6.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нарушения в сфере деятельности организаций с участием муниципального </w:t>
            </w:r>
            <w:r>
              <w:rPr>
                <w:color w:val="000000"/>
                <w:sz w:val="24"/>
              </w:rPr>
              <w:t>образования в их уставных (складочных) капиталах и иных организаций, в т.ч.  при использовании ими имущества, находящегося в муниципальной собственности, ед./ 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72/8 508,25</w:t>
            </w:r>
          </w:p>
        </w:tc>
      </w:tr>
      <w:tr w:rsidR="000F3504">
        <w:trPr>
          <w:trHeight w:val="300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7.7.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нарушения, 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19/39,70</w:t>
            </w:r>
          </w:p>
        </w:tc>
      </w:tr>
      <w:tr w:rsidR="000F3504">
        <w:trPr>
          <w:trHeight w:val="45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Выявлено неэффективное исп</w:t>
            </w:r>
            <w:r>
              <w:rPr>
                <w:color w:val="000000"/>
                <w:sz w:val="24"/>
              </w:rPr>
              <w:t>ользование муниципальных средств, ед./тыс.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11/5,06</w:t>
            </w:r>
          </w:p>
        </w:tc>
      </w:tr>
      <w:tr w:rsidR="000F3504">
        <w:trPr>
          <w:trHeight w:val="45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Устранено выявленных нарушений, ед./тыс.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</w:pPr>
            <w:r>
              <w:rPr>
                <w:color w:val="000000"/>
                <w:sz w:val="24"/>
              </w:rPr>
              <w:t>226/35 783,08</w:t>
            </w:r>
          </w:p>
        </w:tc>
      </w:tr>
      <w:tr w:rsidR="000F3504">
        <w:trPr>
          <w:trHeight w:val="45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3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 них: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rPr>
                <w:color w:val="000000"/>
                <w:sz w:val="24"/>
              </w:rPr>
            </w:pPr>
          </w:p>
        </w:tc>
      </w:tr>
      <w:tr w:rsidR="000F3504">
        <w:trPr>
          <w:trHeight w:val="45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9.1.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Обеспечен возврат средств в бюджеты всех уровней бюджетной системы РФ, ед./тыс.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color w:val="000000"/>
                <w:sz w:val="24"/>
              </w:rPr>
              <w:t>4/3,68</w:t>
            </w:r>
          </w:p>
        </w:tc>
      </w:tr>
      <w:tr w:rsidR="000F3504">
        <w:trPr>
          <w:trHeight w:val="542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Наличие </w:t>
            </w:r>
            <w:r>
              <w:rPr>
                <w:color w:val="000000"/>
                <w:sz w:val="24"/>
              </w:rPr>
              <w:t>стандартов внешнего муниципального финансового контроля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0F3504">
        <w:trPr>
          <w:trHeight w:val="19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Направлено представлений и предписаний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7</w:t>
            </w:r>
          </w:p>
        </w:tc>
      </w:tr>
      <w:tr w:rsidR="000F3504">
        <w:trPr>
          <w:trHeight w:val="142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</w:rPr>
            </w:pPr>
          </w:p>
        </w:tc>
      </w:tr>
      <w:tr w:rsidR="000F3504">
        <w:trPr>
          <w:trHeight w:val="300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11.1.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представлений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7</w:t>
            </w:r>
          </w:p>
        </w:tc>
      </w:tr>
      <w:tr w:rsidR="000F3504">
        <w:trPr>
          <w:trHeight w:val="300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11.2.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предписаний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F3504">
        <w:trPr>
          <w:trHeight w:val="283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представлений и предписаний, исполненных за </w:t>
            </w:r>
            <w:r>
              <w:rPr>
                <w:color w:val="000000"/>
                <w:sz w:val="24"/>
              </w:rPr>
              <w:t>отчетный период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6</w:t>
            </w:r>
          </w:p>
        </w:tc>
      </w:tr>
      <w:tr w:rsidR="000F3504">
        <w:trPr>
          <w:trHeight w:val="194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</w:rPr>
            </w:pPr>
          </w:p>
        </w:tc>
      </w:tr>
      <w:tr w:rsidR="000F3504">
        <w:trPr>
          <w:trHeight w:val="300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12.1.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представлений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6</w:t>
            </w:r>
          </w:p>
        </w:tc>
      </w:tr>
      <w:tr w:rsidR="000F3504">
        <w:trPr>
          <w:trHeight w:val="300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12.2.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предписаний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F3504">
        <w:trPr>
          <w:trHeight w:val="61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материалов контрольных мероприятий, направленных в правоохранительные органы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8</w:t>
            </w:r>
          </w:p>
        </w:tc>
      </w:tr>
      <w:tr w:rsidR="000F3504">
        <w:trPr>
          <w:trHeight w:val="61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составленных протоколов об административных</w:t>
            </w:r>
            <w:r>
              <w:rPr>
                <w:color w:val="000000"/>
                <w:sz w:val="24"/>
              </w:rPr>
              <w:t xml:space="preserve"> правонарушениях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0</w:t>
            </w:r>
          </w:p>
        </w:tc>
      </w:tr>
      <w:tr w:rsidR="000F3504">
        <w:trPr>
          <w:trHeight w:val="61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контрольно-счетной палате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</w:rPr>
            </w:pPr>
          </w:p>
        </w:tc>
      </w:tr>
      <w:tr w:rsidR="000F3504">
        <w:trPr>
          <w:trHeight w:val="61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Штатная численность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3</w:t>
            </w:r>
          </w:p>
        </w:tc>
      </w:tr>
      <w:tr w:rsidR="000F3504">
        <w:trPr>
          <w:trHeight w:val="61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15.2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Фактическая численность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3</w:t>
            </w:r>
          </w:p>
        </w:tc>
      </w:tr>
      <w:tr w:rsidR="000F3504">
        <w:trPr>
          <w:trHeight w:val="61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3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spacing w:line="240" w:lineRule="atLeast"/>
              <w:ind w:firstLine="709"/>
              <w:rPr>
                <w:color w:val="000000"/>
                <w:sz w:val="24"/>
              </w:rPr>
            </w:pPr>
          </w:p>
        </w:tc>
      </w:tr>
      <w:tr w:rsidR="000F3504">
        <w:trPr>
          <w:trHeight w:val="61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0F3504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сотрудников, в должностные обязанности которых входит организация и проведение </w:t>
            </w:r>
            <w:r>
              <w:rPr>
                <w:color w:val="000000"/>
                <w:sz w:val="24"/>
              </w:rPr>
              <w:t>внешнего муниципального контроля (ед.)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ind w:firstLine="709"/>
            </w:pPr>
            <w:r>
              <w:rPr>
                <w:color w:val="000000"/>
                <w:sz w:val="24"/>
              </w:rPr>
              <w:t>2</w:t>
            </w:r>
          </w:p>
        </w:tc>
      </w:tr>
      <w:tr w:rsidR="000F3504">
        <w:trPr>
          <w:trHeight w:val="517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15.3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Финансовое обеспечение, тыс. рублей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504" w:rsidRDefault="00A95F8D">
            <w:pPr>
              <w:widowControl w:val="0"/>
              <w:spacing w:line="240" w:lineRule="atLeast"/>
              <w:jc w:val="center"/>
            </w:pPr>
            <w:r>
              <w:rPr>
                <w:szCs w:val="28"/>
              </w:rPr>
              <w:t>2 888,82</w:t>
            </w:r>
          </w:p>
        </w:tc>
      </w:tr>
    </w:tbl>
    <w:p w:rsidR="000F3504" w:rsidRDefault="000F3504">
      <w:pPr>
        <w:spacing w:line="0" w:lineRule="atLeast"/>
        <w:jc w:val="both"/>
        <w:rPr>
          <w:szCs w:val="28"/>
        </w:rPr>
      </w:pPr>
    </w:p>
    <w:p w:rsidR="000F3504" w:rsidRDefault="00A95F8D">
      <w:pPr>
        <w:spacing w:line="0" w:lineRule="atLeast"/>
        <w:jc w:val="center"/>
      </w:pPr>
      <w:r>
        <w:rPr>
          <w:szCs w:val="28"/>
        </w:rPr>
        <w:t>1. Общие сведения</w:t>
      </w:r>
    </w:p>
    <w:p w:rsidR="000F3504" w:rsidRDefault="000F3504">
      <w:pPr>
        <w:shd w:val="clear" w:color="auto" w:fill="FFFFFF"/>
        <w:spacing w:line="0" w:lineRule="atLeast"/>
        <w:ind w:firstLine="708"/>
        <w:jc w:val="both"/>
        <w:rPr>
          <w:color w:val="000000"/>
          <w:szCs w:val="28"/>
        </w:rPr>
      </w:pPr>
    </w:p>
    <w:p w:rsidR="000F3504" w:rsidRDefault="00A95F8D">
      <w:pPr>
        <w:widowControl w:val="0"/>
        <w:tabs>
          <w:tab w:val="left" w:pos="567"/>
        </w:tabs>
        <w:ind w:firstLine="709"/>
        <w:jc w:val="both"/>
      </w:pPr>
      <w:r>
        <w:rPr>
          <w:szCs w:val="28"/>
        </w:rPr>
        <w:t>Отчёт о деятельности Контрольно-счетной палаты Александровского муниципального округа Ставропольского края (далее – отчёт) за 2022 год представляется на рассмотрение Совету депутатов Александровского муниципального округа Ставропольского края во исполнение</w:t>
      </w:r>
      <w:r>
        <w:rPr>
          <w:szCs w:val="28"/>
        </w:rPr>
        <w:t xml:space="preserve"> </w:t>
      </w:r>
      <w:hyperlink r:id="rId8">
        <w:r>
          <w:rPr>
            <w:szCs w:val="28"/>
          </w:rPr>
          <w:t>статьи                19</w:t>
        </w:r>
      </w:hyperlink>
      <w:r>
        <w:rPr>
          <w:szCs w:val="28"/>
        </w:rPr>
        <w:t xml:space="preserve"> Федерального закона от 07 февраля 2011 года № 6-ФЗ «Об общих принципах организации и деятельност</w:t>
      </w:r>
      <w:r>
        <w:rPr>
          <w:szCs w:val="28"/>
        </w:rPr>
        <w:t xml:space="preserve">и контрольно-счётных органов субъектов Российской Федерации и муниципальных образований» (далее - Федеральный закон № 6-ФЗ). </w:t>
      </w:r>
    </w:p>
    <w:p w:rsidR="000F3504" w:rsidRDefault="00A95F8D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Отчёт содержит информацию об основных направлениях деятельности Контрольно-счетной палаты Александровского муниципального округа С</w:t>
      </w:r>
      <w:r>
        <w:rPr>
          <w:szCs w:val="28"/>
        </w:rPr>
        <w:t xml:space="preserve">тавропольского края (далее - </w:t>
      </w:r>
      <w:r>
        <w:rPr>
          <w:rFonts w:eastAsia="Calibri"/>
          <w:szCs w:val="28"/>
        </w:rPr>
        <w:t xml:space="preserve">Контрольно-счетная палата, Палата) </w:t>
      </w:r>
      <w:r>
        <w:rPr>
          <w:szCs w:val="28"/>
        </w:rPr>
        <w:t xml:space="preserve">в 2022 году, о проведённых контрольных и экспертно-аналитических мероприятиях, их общих результатах, о принятых объектами проверок мерах по устранению выявленных нарушений и недостатков, а также по выполнению рекомендаций Палаты. </w:t>
      </w:r>
    </w:p>
    <w:p w:rsidR="000F3504" w:rsidRDefault="00A95F8D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При классификации нарушен</w:t>
      </w:r>
      <w:r>
        <w:rPr>
          <w:szCs w:val="28"/>
        </w:rPr>
        <w:t>ий использован Классификатор нарушений и недостатков, выявляемых в ходе внешнего муниципального финансового контроля, разработанный на основе Классификатора нарушений выявляемых в ходе внешнего государственного аудита (контроля) Счётной палаты РФ</w:t>
      </w:r>
      <w:r>
        <w:rPr>
          <w:rStyle w:val="af1"/>
          <w:szCs w:val="28"/>
        </w:rPr>
        <w:footnoteReference w:id="1"/>
      </w:r>
      <w:r>
        <w:rPr>
          <w:szCs w:val="28"/>
        </w:rPr>
        <w:t>, а также</w:t>
      </w:r>
      <w:r>
        <w:rPr>
          <w:szCs w:val="28"/>
        </w:rPr>
        <w:t xml:space="preserve"> Классификатора нарушений (рисков), выявляемых Федеральным </w:t>
      </w:r>
      <w:r>
        <w:rPr>
          <w:szCs w:val="28"/>
        </w:rPr>
        <w:lastRenderedPageBreak/>
        <w:t>казначейством в ходе осуществления контроля в финансово-бюджетной сфере</w:t>
      </w:r>
      <w:r>
        <w:rPr>
          <w:rStyle w:val="af1"/>
          <w:szCs w:val="28"/>
        </w:rPr>
        <w:footnoteReference w:id="2"/>
      </w:r>
      <w:r>
        <w:rPr>
          <w:szCs w:val="28"/>
        </w:rPr>
        <w:t xml:space="preserve">. </w:t>
      </w:r>
    </w:p>
    <w:p w:rsidR="000F3504" w:rsidRDefault="00A95F8D">
      <w:pPr>
        <w:widowControl w:val="0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 отчёте отражены итоги организационной и информационной деятельности Контрольно-счетной палаты, а также приоритетные напр</w:t>
      </w:r>
      <w:r>
        <w:rPr>
          <w:szCs w:val="28"/>
        </w:rPr>
        <w:t>авления деятельности Палаты в 2023 году.</w:t>
      </w:r>
    </w:p>
    <w:p w:rsidR="000F3504" w:rsidRDefault="00A95F8D">
      <w:pPr>
        <w:spacing w:after="14"/>
        <w:ind w:firstLine="710"/>
        <w:jc w:val="both"/>
        <w:rPr>
          <w:szCs w:val="28"/>
        </w:rPr>
      </w:pPr>
      <w:r>
        <w:rPr>
          <w:szCs w:val="28"/>
        </w:rPr>
        <w:t xml:space="preserve">Контрольно-счетная палата входит в структуру органов местного самоуправления Александровского муниципального округа Ставропольского края (далее – Александровский округ), обладает правами юридического лица с 30 </w:t>
      </w:r>
      <w:r>
        <w:rPr>
          <w:szCs w:val="28"/>
        </w:rPr>
        <w:t>сентября 2021 года, является участником бюджетного процесса, обладающим бюджетными полномочиями и действует на основании Устава Александровского муниципального округа Ставропольского края и Положения, утвержденного решением Совета депутатов Александровског</w:t>
      </w:r>
      <w:r>
        <w:rPr>
          <w:szCs w:val="28"/>
        </w:rPr>
        <w:t>о муниципального округа Ставропольского края</w:t>
      </w:r>
      <w:r>
        <w:rPr>
          <w:rStyle w:val="af1"/>
          <w:szCs w:val="28"/>
        </w:rPr>
        <w:footnoteReference w:id="3"/>
      </w:r>
      <w:r>
        <w:rPr>
          <w:szCs w:val="28"/>
        </w:rPr>
        <w:t xml:space="preserve">. </w:t>
      </w:r>
    </w:p>
    <w:p w:rsidR="000F3504" w:rsidRDefault="00A95F8D">
      <w:pPr>
        <w:spacing w:after="14"/>
        <w:ind w:firstLine="710"/>
        <w:jc w:val="both"/>
        <w:rPr>
          <w:szCs w:val="28"/>
        </w:rPr>
      </w:pPr>
      <w:r>
        <w:rPr>
          <w:szCs w:val="28"/>
        </w:rPr>
        <w:t>Являясь постоянно действующим органом внешнего муниципального финансового контроля на территории Александровского округа, Контрольно-счетная палата в своей работе руководствуется принципами законности, объект</w:t>
      </w:r>
      <w:r>
        <w:rPr>
          <w:szCs w:val="28"/>
        </w:rPr>
        <w:t>ивности, эффективности, независимости, открытости и гласности. Контрольно-счетная палата подотчётна Совету депутатов Александровского муниципального округа Ставропольского края (далее – Совет депутатов).</w:t>
      </w:r>
    </w:p>
    <w:p w:rsidR="000F3504" w:rsidRDefault="00A95F8D">
      <w:pPr>
        <w:spacing w:after="14"/>
        <w:ind w:firstLine="710"/>
        <w:jc w:val="both"/>
        <w:rPr>
          <w:szCs w:val="28"/>
        </w:rPr>
      </w:pPr>
      <w:r>
        <w:rPr>
          <w:szCs w:val="28"/>
        </w:rPr>
        <w:t>Внешний муниципальный финансовый контроль осуществля</w:t>
      </w:r>
      <w:r>
        <w:rPr>
          <w:szCs w:val="28"/>
        </w:rPr>
        <w:t>ется Контрольно-счетной палатой в форме контрольных и экспертно-аналитических мероприятий.</w:t>
      </w:r>
    </w:p>
    <w:p w:rsidR="000F3504" w:rsidRDefault="00A95F8D">
      <w:pPr>
        <w:spacing w:after="14"/>
        <w:ind w:firstLine="710"/>
        <w:jc w:val="both"/>
        <w:rPr>
          <w:szCs w:val="28"/>
        </w:rPr>
      </w:pPr>
      <w:r>
        <w:rPr>
          <w:szCs w:val="28"/>
        </w:rPr>
        <w:t>Структура Палаты утверждена решением Совета депутатов в составе председателя и двух инспекторов.</w:t>
      </w:r>
    </w:p>
    <w:p w:rsidR="000F3504" w:rsidRDefault="00A95F8D">
      <w:pPr>
        <w:spacing w:after="14"/>
        <w:ind w:firstLine="710"/>
        <w:jc w:val="both"/>
        <w:rPr>
          <w:szCs w:val="28"/>
        </w:rPr>
      </w:pPr>
      <w:r>
        <w:rPr>
          <w:szCs w:val="28"/>
        </w:rPr>
        <w:t>Все работники Контрольно-счетной палаты имеют высшее профессионально</w:t>
      </w:r>
      <w:r>
        <w:rPr>
          <w:szCs w:val="28"/>
        </w:rPr>
        <w:t>е образование.</w:t>
      </w:r>
    </w:p>
    <w:p w:rsidR="000F3504" w:rsidRDefault="00A95F8D">
      <w:pPr>
        <w:spacing w:after="14"/>
        <w:ind w:firstLine="710"/>
        <w:jc w:val="both"/>
        <w:rPr>
          <w:szCs w:val="28"/>
        </w:rPr>
      </w:pPr>
      <w:r>
        <w:rPr>
          <w:szCs w:val="28"/>
        </w:rPr>
        <w:t>Коллегия Контрольно-счетной палаты не создавалась в связи с малочисленностью состава сотрудников.</w:t>
      </w:r>
    </w:p>
    <w:p w:rsidR="000F3504" w:rsidRDefault="00A95F8D">
      <w:pPr>
        <w:spacing w:after="14"/>
        <w:ind w:firstLine="710"/>
        <w:jc w:val="both"/>
        <w:rPr>
          <w:szCs w:val="28"/>
        </w:rPr>
      </w:pPr>
      <w:r>
        <w:rPr>
          <w:color w:val="000000"/>
          <w:szCs w:val="28"/>
        </w:rPr>
        <w:t>Контрольно-счетная палата осуществляла свою работу в отчетном периоде исходя из основных направлений экспертно-аналитической, контрольной и тек</w:t>
      </w:r>
      <w:r>
        <w:rPr>
          <w:color w:val="000000"/>
          <w:szCs w:val="28"/>
        </w:rPr>
        <w:t>ущей деятельности в соответствии с Планом работы</w:t>
      </w:r>
      <w:r>
        <w:rPr>
          <w:szCs w:val="28"/>
        </w:rPr>
        <w:t xml:space="preserve"> Контрольно-счетной палаты Александровского муниципального округа Ставропольского края (далее – План работы), утвержденным приказом Контрольно-счетной палаты от 28 декабря 2021 года № 22 с внесенными впоследс</w:t>
      </w:r>
      <w:r>
        <w:rPr>
          <w:szCs w:val="28"/>
        </w:rPr>
        <w:t>твии изменениями и дополнениями.</w:t>
      </w:r>
    </w:p>
    <w:p w:rsidR="000F3504" w:rsidRDefault="000F3504">
      <w:pPr>
        <w:ind w:firstLine="709"/>
        <w:jc w:val="both"/>
        <w:rPr>
          <w:szCs w:val="28"/>
        </w:rPr>
      </w:pP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Анализ мероприятий, проведенных в 2022 году в сравнении с показателями 2021 года, представлен в следующей таблице:</w:t>
      </w:r>
    </w:p>
    <w:p w:rsidR="000F3504" w:rsidRDefault="000F3504">
      <w:pPr>
        <w:jc w:val="both"/>
        <w:rPr>
          <w:szCs w:val="28"/>
        </w:rPr>
      </w:pPr>
    </w:p>
    <w:tbl>
      <w:tblPr>
        <w:tblW w:w="961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675"/>
        <w:gridCol w:w="6675"/>
        <w:gridCol w:w="1125"/>
        <w:gridCol w:w="1143"/>
      </w:tblGrid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lastRenderedPageBreak/>
              <w:t>п/п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Наименование мероприятий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2021 </w:t>
            </w:r>
            <w:r>
              <w:rPr>
                <w:szCs w:val="28"/>
              </w:rPr>
              <w:lastRenderedPageBreak/>
              <w:t>год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2022 </w:t>
            </w:r>
            <w:r>
              <w:rPr>
                <w:szCs w:val="28"/>
              </w:rPr>
              <w:lastRenderedPageBreak/>
              <w:t>год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tabs>
                <w:tab w:val="left" w:pos="165"/>
              </w:tabs>
              <w:jc w:val="center"/>
            </w:pPr>
            <w:r>
              <w:rPr>
                <w:szCs w:val="28"/>
              </w:rPr>
              <w:lastRenderedPageBreak/>
              <w:t>1.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Контрольные мероприятия, всего</w:t>
            </w:r>
          </w:p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в том числе: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11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в соответствии с планом работы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 поручениям Контрольно-счетной палаты Ставропольского края, в том числе внеплановых (по поручениям органов прокуратуры, Совета депутатов, главы округа и обращениям граждан)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2.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Экспертно-аналитические мероприя</w:t>
            </w:r>
            <w:r>
              <w:rPr>
                <w:szCs w:val="28"/>
              </w:rPr>
              <w:t>тия, всего (включая финансово-экономические экспертизы), в том числе: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40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68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подготовленных Заключений по внешней проверке годового отчета об исполнении бюджета округа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0F3504">
            <w:pPr>
              <w:widowControl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Количество подготовленных Заключений по мониторингу исполнения </w:t>
            </w:r>
            <w:r>
              <w:rPr>
                <w:szCs w:val="28"/>
              </w:rPr>
              <w:t>бюджета округа в отчетном периоде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0F3504">
            <w:pPr>
              <w:widowControl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проведенных ЭАМ по обращениям уполномоченных органов власти, граждан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2.3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подготовленных Заключений на проекты решений Совета депутатов о внесении изменений в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Заключение на</w:t>
            </w:r>
            <w:r>
              <w:rPr>
                <w:szCs w:val="28"/>
              </w:rPr>
              <w:t xml:space="preserve"> проекты изменений в муниципальные программы Александровского муниципального округа Ставропольского края, реализация которых начата в 2021 году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Заключение на проект бюджета округа на очередной финансовый год и плановый период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Иные заключ</w:t>
            </w:r>
            <w:r>
              <w:rPr>
                <w:szCs w:val="28"/>
              </w:rPr>
              <w:t>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0F35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0F3504">
            <w:pPr>
              <w:widowControl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Всего: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46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</w:pPr>
            <w:r>
              <w:rPr>
                <w:szCs w:val="28"/>
              </w:rPr>
              <w:t>79</w:t>
            </w:r>
          </w:p>
        </w:tc>
      </w:tr>
    </w:tbl>
    <w:p w:rsidR="000F3504" w:rsidRDefault="000F3504">
      <w:pPr>
        <w:spacing w:after="14"/>
        <w:ind w:firstLine="710"/>
        <w:jc w:val="both"/>
        <w:rPr>
          <w:color w:val="000000"/>
          <w:szCs w:val="28"/>
        </w:rPr>
      </w:pPr>
    </w:p>
    <w:p w:rsidR="000F3504" w:rsidRDefault="00A95F8D">
      <w:pPr>
        <w:spacing w:after="14"/>
        <w:ind w:firstLine="710"/>
        <w:jc w:val="both"/>
        <w:rPr>
          <w:szCs w:val="28"/>
        </w:rPr>
      </w:pPr>
      <w:r>
        <w:rPr>
          <w:color w:val="000000"/>
          <w:szCs w:val="28"/>
        </w:rPr>
        <w:t>З</w:t>
      </w:r>
      <w:r>
        <w:rPr>
          <w:szCs w:val="28"/>
        </w:rPr>
        <w:t xml:space="preserve">апланированные расходы на содержание Контрольно-счетной палаты в 2022 году производились в соответствии с утвержденной сметой в сумме 2 888,82 тысяч рублей. </w:t>
      </w:r>
    </w:p>
    <w:p w:rsidR="000F3504" w:rsidRDefault="000F3504">
      <w:pPr>
        <w:spacing w:line="240" w:lineRule="exact"/>
        <w:ind w:firstLine="709"/>
        <w:jc w:val="both"/>
        <w:rPr>
          <w:szCs w:val="28"/>
        </w:rPr>
      </w:pPr>
    </w:p>
    <w:p w:rsidR="000F3504" w:rsidRDefault="00A95F8D">
      <w:pPr>
        <w:spacing w:line="240" w:lineRule="exact"/>
        <w:ind w:firstLine="709"/>
        <w:jc w:val="center"/>
      </w:pPr>
      <w:r>
        <w:rPr>
          <w:szCs w:val="28"/>
        </w:rPr>
        <w:t>2. Результаты контрольной деятельности</w:t>
      </w:r>
    </w:p>
    <w:p w:rsidR="000F3504" w:rsidRDefault="000F3504">
      <w:pPr>
        <w:spacing w:line="240" w:lineRule="exact"/>
        <w:ind w:firstLine="709"/>
        <w:jc w:val="center"/>
        <w:rPr>
          <w:szCs w:val="28"/>
        </w:rPr>
      </w:pP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Положением </w:t>
      </w:r>
      <w:r>
        <w:rPr>
          <w:szCs w:val="28"/>
        </w:rPr>
        <w:t>о Контрольно-счетной палате Александровского муниципального округа Ставропольского края, Планом работы на 2022 год (с изменениями и дополнениями) Контрольно-счетной палатой проведено 11 контрольных мероприятий, в том числе: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- 5 мероприятий по поручению Про</w:t>
      </w:r>
      <w:r>
        <w:rPr>
          <w:szCs w:val="28"/>
        </w:rPr>
        <w:t>куратуры Александровского района;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- 6 мероприятий Контрольно-счетной палаты.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По результатам проведенных контрольных мероприятий составлены акты проверок и отчеты о результатах проверок.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Замечания по актам проверок за 2022 год в Контрольно-счетную палату не</w:t>
      </w:r>
      <w:r>
        <w:rPr>
          <w:szCs w:val="28"/>
        </w:rPr>
        <w:t xml:space="preserve"> поступали.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Информация по результатам контрольных мероприятий направлялась в Совет депутатов, главе Александровского муниципального округа Ставропольского края и в прокуратуру Александровского района.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 xml:space="preserve">В части контрольной деятельности за 2022 год сотрудниками Контрольно-счетной палаты проведены 11 контрольных мероприятий, проверками были охвачены 42 объектов контроля. 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 xml:space="preserve">Общий объем проверенных бюджетных средств составил                            1 002 962,87 тысяч рублей. В ходе контрольных мероприятий установлено 291 случаев нарушения законодательства на общую сумму 48 511,93 тысячи рублей. 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В сравнении с 2020 годом кол</w:t>
      </w:r>
      <w:r>
        <w:rPr>
          <w:szCs w:val="28"/>
        </w:rPr>
        <w:t xml:space="preserve">ичество контрольных мероприятий увеличилось на 10 % или на одно контрольное мероприятие, с 2021 годом увеличилось более чем на 80 % или на пять мероприятий. 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Сравнительные показатели отражены в таблице:</w:t>
      </w:r>
    </w:p>
    <w:tbl>
      <w:tblPr>
        <w:tblW w:w="974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84"/>
        <w:gridCol w:w="1849"/>
        <w:gridCol w:w="1739"/>
        <w:gridCol w:w="1474"/>
      </w:tblGrid>
      <w:tr w:rsidR="000F350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показателя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2020 год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2021 год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</w:tr>
      <w:tr w:rsidR="000F350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роведено контрольных мероприятий (ед.)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0F350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Объекты проверок (ед.)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</w:tr>
      <w:tr w:rsidR="000F350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Объем проверенных средств (тыс. руб.)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335 091,21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265 749,55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1 002 962,87</w:t>
            </w:r>
          </w:p>
        </w:tc>
      </w:tr>
      <w:tr w:rsidR="000F350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Выявлено нарушений (тыс. руб.)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191 750,80</w:t>
            </w:r>
          </w:p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(71)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45 267,32</w:t>
            </w:r>
          </w:p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(129)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48 511,93</w:t>
            </w:r>
          </w:p>
          <w:p w:rsidR="000F3504" w:rsidRDefault="00A95F8D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(291)</w:t>
            </w:r>
          </w:p>
        </w:tc>
      </w:tr>
    </w:tbl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За 2022 год проведены</w:t>
      </w:r>
      <w:r>
        <w:rPr>
          <w:szCs w:val="28"/>
        </w:rPr>
        <w:t xml:space="preserve"> следующие контрольные мероприятия:</w:t>
      </w:r>
    </w:p>
    <w:p w:rsidR="000F3504" w:rsidRDefault="00A95F8D">
      <w:pPr>
        <w:pStyle w:val="af5"/>
        <w:spacing w:line="240" w:lineRule="atLeast"/>
        <w:ind w:firstLine="709"/>
        <w:jc w:val="both"/>
      </w:pPr>
      <w:r>
        <w:rPr>
          <w:i/>
          <w:szCs w:val="28"/>
        </w:rPr>
        <w:t xml:space="preserve">1) </w:t>
      </w:r>
      <w:r>
        <w:rPr>
          <w:szCs w:val="28"/>
        </w:rPr>
        <w:t>«</w:t>
      </w:r>
      <w:r>
        <w:rPr>
          <w:i/>
          <w:szCs w:val="28"/>
        </w:rPr>
        <w:t xml:space="preserve">Проверка законности, результативности (эффективности и экономности) использования средств бюджета Александровского муниципального округа Ставропольского края, предоставленных Александровскому территориальному отделу </w:t>
      </w:r>
      <w:r>
        <w:rPr>
          <w:i/>
          <w:szCs w:val="28"/>
        </w:rPr>
        <w:t>администрации Александровского муниципального округа Ставропольского края в 2021 году и истекшем периоде 2022 года»</w:t>
      </w:r>
      <w:r>
        <w:rPr>
          <w:i/>
          <w:color w:val="000000"/>
          <w:szCs w:val="28"/>
        </w:rPr>
        <w:t>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Объем проверенных средств – 492 109,50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нарушений – 19 979,77 тыс. рублей (17ед.).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Основные нарушения, в</w:t>
      </w:r>
      <w:r>
        <w:rPr>
          <w:i/>
          <w:color w:val="000000"/>
          <w:szCs w:val="28"/>
        </w:rPr>
        <w:t>ыявленные в ходе контрольного мероприятия: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eastAsia="en-US"/>
        </w:rPr>
        <w:t>в</w:t>
      </w:r>
      <w:r>
        <w:rPr>
          <w:b/>
          <w:szCs w:val="28"/>
          <w:lang w:eastAsia="en-US"/>
        </w:rPr>
        <w:t xml:space="preserve"> </w:t>
      </w:r>
      <w:r>
        <w:rPr>
          <w:szCs w:val="28"/>
          <w:lang w:eastAsia="en-US"/>
        </w:rPr>
        <w:t>нарушение п.1 ч.</w:t>
      </w:r>
      <w:r>
        <w:rPr>
          <w:szCs w:val="28"/>
          <w:lang w:val="en-US" w:eastAsia="en-US"/>
        </w:rPr>
        <w:t>VII</w:t>
      </w:r>
      <w:r>
        <w:rPr>
          <w:szCs w:val="28"/>
          <w:lang w:eastAsia="en-US"/>
        </w:rPr>
        <w:t xml:space="preserve"> Порядка управления и распоряжения имущественными объектами муниципальной собственности Александровского муниципального округа Ставропольского края, утвержденного решением Совета депутатов Александровского муниципального округа Ставропольского края от 11 д</w:t>
      </w:r>
      <w:r>
        <w:rPr>
          <w:szCs w:val="28"/>
          <w:lang w:eastAsia="en-US"/>
        </w:rPr>
        <w:t>екабря 2022 г. № 88/88, на момент проведения контрольного мероприятия в реестре муниципального имущества отсутствует имущество, находящееся на балансе Александровского территориального отдела общей балансовой стоимостью 19 958,07 тыс. рублей</w:t>
      </w:r>
      <w:r>
        <w:rPr>
          <w:szCs w:val="28"/>
        </w:rPr>
        <w:t>;</w:t>
      </w:r>
    </w:p>
    <w:p w:rsidR="000F3504" w:rsidRDefault="00A95F8D">
      <w:pPr>
        <w:ind w:firstLine="68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eastAsia="en-US"/>
        </w:rPr>
        <w:t>при выбороч</w:t>
      </w:r>
      <w:r>
        <w:rPr>
          <w:szCs w:val="28"/>
          <w:lang w:eastAsia="en-US"/>
        </w:rPr>
        <w:t>ной проверке оплаты труда и начислений на выплаты по оплате труда установлены случаи неполной выплаты работникам сумм, положенных при увольнении</w:t>
      </w:r>
      <w:r>
        <w:rPr>
          <w:szCs w:val="28"/>
        </w:rPr>
        <w:t>;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>
        <w:rPr>
          <w:szCs w:val="28"/>
          <w:lang w:eastAsia="en-US"/>
        </w:rPr>
        <w:t xml:space="preserve">при проверке начислений на выплаты по оплате труда, Контрольно-счетной палатой установлено, что учреждением </w:t>
      </w:r>
      <w:r>
        <w:rPr>
          <w:szCs w:val="28"/>
          <w:lang w:eastAsia="en-US"/>
        </w:rPr>
        <w:t>нарушены обязанности налогового агента, предусмотренные пунктом 6 статьи 226 Налогового кодекса Российской Федерации, согласно которому налоговые агенты обязаны перечислять сумму исчисленного и удержанного налога в сроки, определенные данной статьей.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>На от</w:t>
      </w:r>
      <w:r>
        <w:rPr>
          <w:szCs w:val="28"/>
          <w:lang w:eastAsia="en-US"/>
        </w:rPr>
        <w:t xml:space="preserve">четную дату по представлению от 26.08.2022 года № 167/6п, внесенному в адрес </w:t>
      </w:r>
      <w:r>
        <w:rPr>
          <w:szCs w:val="28"/>
        </w:rPr>
        <w:t>Александровского территориального отдела администрации Александровского муниципального округа Ставропольского края полностью выполнены все требования.</w:t>
      </w:r>
    </w:p>
    <w:p w:rsidR="000F3504" w:rsidRDefault="00A95F8D">
      <w:pPr>
        <w:ind w:firstLine="737"/>
        <w:jc w:val="both"/>
      </w:pPr>
      <w:r>
        <w:rPr>
          <w:szCs w:val="28"/>
          <w:lang w:eastAsia="en-US"/>
        </w:rPr>
        <w:t>2</w:t>
      </w:r>
      <w:r>
        <w:rPr>
          <w:i/>
          <w:szCs w:val="28"/>
        </w:rPr>
        <w:t>) «Проверка законности, рез</w:t>
      </w:r>
      <w:r>
        <w:rPr>
          <w:i/>
          <w:szCs w:val="28"/>
        </w:rPr>
        <w:t>ультативности (эффективности и экономности) использования средств бюджета Александровского муниципального округа Ставропольского края, выделенных в 2021 году и истекшем периоде 2022 года на реализацию мероприятий муниципальной программы «Сохранение и разви</w:t>
      </w:r>
      <w:r>
        <w:rPr>
          <w:i/>
          <w:szCs w:val="28"/>
        </w:rPr>
        <w:t>тие культуры».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Объем проверенных средств – 183 987,63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нарушений – 18,00 тыс. рублей (8ед.).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Основные нарушения, выявленные в ходе контрольного мероприятия: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- в</w:t>
      </w:r>
      <w:r>
        <w:rPr>
          <w:bCs/>
          <w:szCs w:val="28"/>
        </w:rPr>
        <w:t xml:space="preserve"> нарушение абз. 4 п. 2 ст. 179 Бюджетного кодекса Российской </w:t>
      </w:r>
      <w:r>
        <w:rPr>
          <w:bCs/>
          <w:szCs w:val="28"/>
        </w:rPr>
        <w:t xml:space="preserve">Федерации, </w:t>
      </w:r>
      <w:r>
        <w:rPr>
          <w:szCs w:val="28"/>
        </w:rPr>
        <w:t>п. 30 Методических указаний по разработке и реализации муниципальных программ Александровского муниципального округа Ставропольского края, утвержденных постановлением администрации Александровского муниципального округа Ставропольского края от 0</w:t>
      </w:r>
      <w:r>
        <w:rPr>
          <w:szCs w:val="28"/>
        </w:rPr>
        <w:t>4 декабря 2020 года № 5,</w:t>
      </w:r>
      <w:r>
        <w:rPr>
          <w:rFonts w:cs="Arial"/>
          <w:szCs w:val="28"/>
        </w:rPr>
        <w:t xml:space="preserve"> </w:t>
      </w:r>
      <w:r>
        <w:rPr>
          <w:szCs w:val="28"/>
        </w:rPr>
        <w:t>при изменении параметров финансового обеспечения муниципальной программы Решением о местном бюджете на 2022 год и плановый период 2023 и 2024 годов в редакции от 10 февраля 2022 года           № 433/8, от 22 апреля 2022 года № 482/</w:t>
      </w:r>
      <w:r>
        <w:rPr>
          <w:szCs w:val="28"/>
        </w:rPr>
        <w:t>57, от 27 мая 2022 года № 500/75 и от      14 июля 2022 года № 520/95» изменения в Программу ответственным исполнителем не были произведены;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Cs/>
          <w:szCs w:val="28"/>
        </w:rPr>
        <w:t>в отчете о выполнении муниципального задания за 2021 год от 30 декабря 2021 года № 4 МБУК «Досуг» показатели граф</w:t>
      </w:r>
      <w:r>
        <w:rPr>
          <w:bCs/>
          <w:szCs w:val="28"/>
        </w:rPr>
        <w:t>ы 10 «Утверждено в муниципальном задании на год» не соответствуют показателям утвержденным в муниципальном задании на 2021 год, т.е. отражены без учета реорганизации учреждения в текущем отчетном периоде</w:t>
      </w:r>
      <w:r>
        <w:rPr>
          <w:szCs w:val="28"/>
        </w:rPr>
        <w:t>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>На отчетную дату по представлению от 09.11.2022 год</w:t>
      </w:r>
      <w:r>
        <w:rPr>
          <w:szCs w:val="28"/>
          <w:lang w:eastAsia="en-US"/>
        </w:rPr>
        <w:t xml:space="preserve">а № 214/7п, внесенному в адрес </w:t>
      </w:r>
      <w:r>
        <w:rPr>
          <w:szCs w:val="28"/>
        </w:rPr>
        <w:t>отдела культуры администрации Александровского муниципального округа Ставропольского требование перенесено на январь 2023 года.</w:t>
      </w:r>
    </w:p>
    <w:p w:rsidR="000F3504" w:rsidRDefault="00A95F8D">
      <w:pPr>
        <w:snapToGrid w:val="0"/>
        <w:spacing w:line="240" w:lineRule="atLeast"/>
        <w:ind w:firstLine="737"/>
        <w:jc w:val="both"/>
        <w:outlineLvl w:val="2"/>
      </w:pPr>
      <w:r>
        <w:rPr>
          <w:i/>
          <w:szCs w:val="28"/>
        </w:rPr>
        <w:t>3) «Проверка законности, результативности (эффективности и экономности) использования средств бюд</w:t>
      </w:r>
      <w:r>
        <w:rPr>
          <w:i/>
          <w:szCs w:val="28"/>
        </w:rPr>
        <w:t>жета Александровского муниципального округа Ставропольского края за 2020-2021 год и истекший период 2022 года в рамках реализации регионального проекта «Успех каждого ребенка».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Объем проверенных средств – 5 004,84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</w:t>
      </w:r>
      <w:r>
        <w:rPr>
          <w:szCs w:val="28"/>
        </w:rPr>
        <w:t>ний – 10 967,40 тыс. рублей (12 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lastRenderedPageBreak/>
        <w:t>Основные нарушения, выявленные в ходе контрольного мероприятия: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- в нарушение п.5 ч. 1 статьи 93 Закона № 44-ФЗ при осуществлении закупки МОУ СОШ № 16 превышен годовой объем закупок, которые заказчик вправе осуществить</w:t>
      </w:r>
      <w:r>
        <w:rPr>
          <w:szCs w:val="28"/>
        </w:rPr>
        <w:t xml:space="preserve"> на основании настоящего пункта и который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рублей. В соответствии с разме</w:t>
      </w:r>
      <w:r>
        <w:rPr>
          <w:szCs w:val="28"/>
        </w:rPr>
        <w:t xml:space="preserve">щенными в ЕИС данными, общая сумма закупок в плане-графике закупок на 2020 год № 20200321001032001 составляет 12 212,86 тыс. рублей, а закупки, произведенные </w:t>
      </w:r>
      <w:r>
        <w:rPr>
          <w:szCs w:val="28"/>
          <w:shd w:val="clear" w:color="auto" w:fill="FFFFFF"/>
        </w:rPr>
        <w:t>в соответствии с п. 5 ч. 1 ст. 93 Закона № 44-ФЗ в сумме составляют 6 260, 91 тыс. рублей;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>
        <w:rPr>
          <w:szCs w:val="28"/>
        </w:rPr>
        <w:t>в нар</w:t>
      </w:r>
      <w:r>
        <w:rPr>
          <w:szCs w:val="28"/>
        </w:rPr>
        <w:t>ушение условий контракта акт о приемке выполненных работ форма № КС-2 от 23.09.2020 г. подписан сторонами 23.09.2020 г., а оплата МОУ СОШ № 16 фактически произведена 16.10.2020 г. с просрочкой в количестве 3-х рабочих дней, что является нарушением ст. 7.32</w:t>
      </w:r>
      <w:r>
        <w:rPr>
          <w:szCs w:val="28"/>
        </w:rPr>
        <w:t>. Кодекса Российской Федерации об административных правонарушениях;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- большая часть приобретенного спортивного инвентаря и оборудования для легкой атлетики и фитнеса в МОУ ООШ № 11 по состоянию на 13.07.2022 г. находится на складе МОУ ООШ № 11 и не использ</w:t>
      </w:r>
      <w:r>
        <w:rPr>
          <w:szCs w:val="28"/>
        </w:rPr>
        <w:t>уется, что свидетельствует о неэффективном использовании бюджетных средств;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- в нарушение Инструкции № 191н в разделе 4 ф.0503175 за 2021 год не указаны контракты по капитальному ремонту спортивного зала в  МОУ СОШ № 3 заключенные 22.11.2021 г.  на общую с</w:t>
      </w:r>
      <w:r>
        <w:rPr>
          <w:szCs w:val="28"/>
        </w:rPr>
        <w:t>умму 1447,37 тыс. рублей. Ответственность за искажение показателя бюджетной отчетности, выраженного в денежном измерении, которое привело к искажению информации об активах, и (или) обязательств, и (или) о финансовом результате предусмотрена п. 4 ст. 15.15.</w:t>
      </w:r>
      <w:r>
        <w:rPr>
          <w:szCs w:val="28"/>
        </w:rPr>
        <w:t>6 КоАП;</w:t>
      </w:r>
    </w:p>
    <w:p w:rsidR="000F3504" w:rsidRDefault="00A95F8D">
      <w:pPr>
        <w:spacing w:line="240" w:lineRule="atLeast"/>
        <w:ind w:firstLine="737"/>
        <w:jc w:val="both"/>
        <w:rPr>
          <w:szCs w:val="28"/>
        </w:rPr>
      </w:pPr>
      <w:r>
        <w:rPr>
          <w:szCs w:val="28"/>
        </w:rPr>
        <w:t xml:space="preserve">- в нарушение п. 11 Инструкции утвержденной Приказом Минфина РФ от 01 декабря 2010 года № 157н и п. 29 Приказа Минфина РФ от 31 декабря      2016 года № 256н должностными лицами МОУ ООШ № 13 первичные учетные документы к журналу операций не </w:t>
      </w:r>
      <w:r>
        <w:rPr>
          <w:szCs w:val="28"/>
        </w:rPr>
        <w:t>подбираются и не сброшюровываются по соответствующим счетам бухгалтерского учета. Ответственность за нарушение правил хранения бухгалтерских документов предусмотрена ст. 15.11 КоАП (п.7 часть 1).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>На отчетную дату по представлению от 29.07.2022 года № 151/5</w:t>
      </w:r>
      <w:r>
        <w:rPr>
          <w:szCs w:val="28"/>
          <w:lang w:eastAsia="en-US"/>
        </w:rPr>
        <w:t xml:space="preserve">п, внесенному в адрес </w:t>
      </w:r>
      <w:r>
        <w:rPr>
          <w:szCs w:val="28"/>
        </w:rPr>
        <w:t>отдела образования администрации Александровского муниципального округа Ставропольского края полностью выполнены  требования.</w:t>
      </w:r>
    </w:p>
    <w:p w:rsidR="000F3504" w:rsidRDefault="00A95F8D">
      <w:pPr>
        <w:widowControl w:val="0"/>
        <w:tabs>
          <w:tab w:val="left" w:pos="735"/>
        </w:tabs>
        <w:spacing w:line="240" w:lineRule="atLeast"/>
        <w:ind w:firstLine="794"/>
        <w:jc w:val="both"/>
      </w:pPr>
      <w:r>
        <w:rPr>
          <w:i/>
          <w:szCs w:val="28"/>
        </w:rPr>
        <w:t>4) Проверка правомерности и эффективности управления и распоряжения земельными ресурсами Александровского му</w:t>
      </w:r>
      <w:r>
        <w:rPr>
          <w:i/>
          <w:szCs w:val="28"/>
        </w:rPr>
        <w:t>ниципального округа Ставропольского края, проверка договоров аренды земельных участков на предмет обоснованности расчета арендной платы и полноты ее внесения за 2021 год, полноты и своевременности поступления в бюджет Александровского муниципального округа</w:t>
      </w:r>
      <w:r>
        <w:rPr>
          <w:i/>
          <w:szCs w:val="28"/>
        </w:rPr>
        <w:t xml:space="preserve"> Ставропольского края доходов от распоряжения и использования земельными ресурсами.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Объем проверенных средств – 0,00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нарушений – 0,00 тыс. рублей (177 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Основные нарушения, выявленные в ходе контрольного мероприятия:</w:t>
      </w:r>
    </w:p>
    <w:p w:rsidR="000F3504" w:rsidRDefault="00A95F8D">
      <w:pPr>
        <w:tabs>
          <w:tab w:val="left" w:pos="735"/>
        </w:tabs>
        <w:spacing w:line="240" w:lineRule="atLeast"/>
        <w:ind w:firstLine="737"/>
        <w:jc w:val="both"/>
        <w:rPr>
          <w:szCs w:val="28"/>
        </w:rPr>
      </w:pPr>
      <w:r>
        <w:rPr>
          <w:szCs w:val="28"/>
        </w:rPr>
        <w:t>- 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нарушение п.п. 3 п.2 ст. 39.25 ЗК РФ нормативный правовой акт администрации округа по определению платы по соглашению об установлении сервитута в отношении муниципальных земельных участков не принимался;</w:t>
      </w:r>
    </w:p>
    <w:p w:rsidR="000F3504" w:rsidRDefault="00A95F8D">
      <w:pPr>
        <w:spacing w:line="240" w:lineRule="atLeast"/>
        <w:ind w:firstLine="737"/>
        <w:jc w:val="both"/>
        <w:rPr>
          <w:szCs w:val="28"/>
        </w:rPr>
      </w:pPr>
      <w:r>
        <w:rPr>
          <w:szCs w:val="28"/>
        </w:rPr>
        <w:t>- 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нарушение п.п. 3 п. 5 ст. 39.28 ЗК РФ пор</w:t>
      </w:r>
      <w:r>
        <w:rPr>
          <w:szCs w:val="28"/>
        </w:rPr>
        <w:t>ядок определения размера платы при увеличении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Александро</w:t>
      </w:r>
      <w:r>
        <w:rPr>
          <w:szCs w:val="28"/>
        </w:rPr>
        <w:t xml:space="preserve">вского муниципального округа Ставропольского края не принимался; </w:t>
      </w:r>
    </w:p>
    <w:p w:rsidR="000F3504" w:rsidRDefault="00A95F8D">
      <w:pPr>
        <w:widowControl w:val="0"/>
        <w:spacing w:line="240" w:lineRule="atLeast"/>
        <w:ind w:firstLine="737"/>
        <w:jc w:val="both"/>
        <w:rPr>
          <w:szCs w:val="28"/>
        </w:rPr>
      </w:pPr>
      <w:r>
        <w:rPr>
          <w:szCs w:val="28"/>
        </w:rPr>
        <w:t>- условия и сроки внесения арендной платы за использование земельных участков, находящихся в собственности Александровского муниципального округа Ставропольского края не утверждены в соответ</w:t>
      </w:r>
      <w:r>
        <w:rPr>
          <w:szCs w:val="28"/>
        </w:rPr>
        <w:t>ствии с постановлением Правительства Ставропольского края от 26 декабря 2018 г. № 601-п «Об утверждении Порядка определения размера арендной платы за использование земельных участков, находящихся в государственной собственности Ставропольского края, и земе</w:t>
      </w:r>
      <w:r>
        <w:rPr>
          <w:szCs w:val="28"/>
        </w:rPr>
        <w:t>льных участков, государственная собственность на которые не разграничена, и предоставленных в аренду без торгов»;</w:t>
      </w:r>
    </w:p>
    <w:p w:rsidR="000F3504" w:rsidRDefault="00A95F8D">
      <w:pPr>
        <w:pStyle w:val="af5"/>
        <w:spacing w:line="240" w:lineRule="atLeast"/>
        <w:ind w:firstLine="737"/>
        <w:jc w:val="both"/>
        <w:rPr>
          <w:szCs w:val="28"/>
        </w:rPr>
      </w:pPr>
      <w:r>
        <w:rPr>
          <w:szCs w:val="28"/>
        </w:rPr>
        <w:t xml:space="preserve">- по состоянию на 31.12.2021 года Казачьим обществам и Местным религиозным организациям  на территории Александровского муниципального округа </w:t>
      </w:r>
      <w:r>
        <w:rPr>
          <w:szCs w:val="28"/>
        </w:rPr>
        <w:t>по договорам аренды с администрацией Александровского муниципального округа предоставлены земельные участки общей площадью  16 716 437,88 кв.м. Ни одним из Казачьих обществ и Местных религиозных организаций, которым предоставлены земельные участки в аренду</w:t>
      </w:r>
      <w:r>
        <w:rPr>
          <w:szCs w:val="28"/>
        </w:rPr>
        <w:t>, в отдел сельского хозяйства не предоставляются сведения по посевам сельскохозяйственных культур и сборе урожая, что может свидетельствовать о том, что использование данных земельных участков является формальным, без отражения денежных средств от выращива</w:t>
      </w:r>
      <w:r>
        <w:rPr>
          <w:szCs w:val="28"/>
        </w:rPr>
        <w:t>ния сельскохозяйственных культур в статистической отчетности.</w:t>
      </w:r>
    </w:p>
    <w:p w:rsidR="000F3504" w:rsidRDefault="00A95F8D">
      <w:pPr>
        <w:widowControl w:val="0"/>
        <w:spacing w:line="240" w:lineRule="atLeast"/>
        <w:ind w:firstLine="680"/>
        <w:jc w:val="both"/>
        <w:rPr>
          <w:szCs w:val="28"/>
        </w:rPr>
      </w:pPr>
      <w:r>
        <w:rPr>
          <w:szCs w:val="28"/>
        </w:rPr>
        <w:t>Предусмотренные преференции по предоставлению земельных участков в аренду Казачьим обществам и Местным религиозным организациям, приводит к недополучению доходов местного бюджета в результате не</w:t>
      </w:r>
      <w:r>
        <w:rPr>
          <w:szCs w:val="28"/>
        </w:rPr>
        <w:t xml:space="preserve"> проведения торгов на право заключения договоров аренды данных земельных участков в форме аукциона, как это предусмотрено ч.1 статьи 39.6 ЗК РФ.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 xml:space="preserve">На отчетную дату по представлению от 25.04.2022 года № 67/2п, внесенному в адрес </w:t>
      </w:r>
      <w:r>
        <w:rPr>
          <w:szCs w:val="28"/>
        </w:rPr>
        <w:t>отдела имущественных и земельн</w:t>
      </w:r>
      <w:r>
        <w:rPr>
          <w:szCs w:val="28"/>
        </w:rPr>
        <w:t>ых отношений администрации Александровского муниципального округа Ставропольского края полностью выполнены  требования.</w:t>
      </w:r>
    </w:p>
    <w:p w:rsidR="000F3504" w:rsidRDefault="00A95F8D">
      <w:pPr>
        <w:ind w:firstLine="737"/>
        <w:jc w:val="both"/>
      </w:pPr>
      <w:r>
        <w:rPr>
          <w:i/>
          <w:szCs w:val="28"/>
        </w:rPr>
        <w:t>5) Проверка отдельных вопросов финансово-хозяйственной деятельности муниципального унитарного предприятия коммунального хозяйства «Кругл</w:t>
      </w:r>
      <w:r>
        <w:rPr>
          <w:i/>
          <w:szCs w:val="28"/>
        </w:rPr>
        <w:t>олесское», а также соблюдения установленного порядка управления и распоряжения муниципальным имуществом</w:t>
      </w:r>
      <w:r>
        <w:rPr>
          <w:i/>
          <w:szCs w:val="28"/>
          <w:lang w:eastAsia="en-US"/>
        </w:rPr>
        <w:t>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Объем проверенных средств – 3 153,49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Общий объем выявленных нарушений – 1 089,93 тыс. рублей (20 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Основные нарушения, выявленные в хо</w:t>
      </w:r>
      <w:r>
        <w:rPr>
          <w:i/>
          <w:color w:val="000000"/>
          <w:szCs w:val="28"/>
        </w:rPr>
        <w:t>де контрольного мероприятия: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>
        <w:rPr>
          <w:szCs w:val="28"/>
        </w:rPr>
        <w:t>заседания балансовой комиссии по результатам финансово-хозяйственной деятельности МУП КХ «Круглолесское» за 2021 год не проводились;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 xml:space="preserve">- проверкой правильности и своевременности оформления трудовых отношений Контрольно-счетной </w:t>
      </w:r>
      <w:r>
        <w:rPr>
          <w:szCs w:val="28"/>
        </w:rPr>
        <w:t>палатой установлено, что в нарушение ст. 72 Трудового Кодекса Российской Федерации (далее - ТК РФ) при изменении оплаты труда с работниками МУП КХ «Круглолесское» не заключались соглашения в письменной форме;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- в нарушение п. 6 ст. 226 Налогового кодекса Р</w:t>
      </w:r>
      <w:r>
        <w:rPr>
          <w:szCs w:val="28"/>
        </w:rPr>
        <w:t>оссийской Федерации, в проверяемом периоде предприятием из заработной платы работников за первую половину месяца не исчисляется и не удерживается сумма налога на доходы физического лица;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- в нарушение Приказа № 94н МУП КХ «Круглолесское»  не учтено предпри</w:t>
      </w:r>
      <w:r>
        <w:rPr>
          <w:szCs w:val="28"/>
        </w:rPr>
        <w:t>ятием в бухгалтерском учете на счете 01 «Основные средства» имущество общей балансовой стоимостью 954,70 тыс. рублей;</w:t>
      </w:r>
    </w:p>
    <w:p w:rsidR="000F3504" w:rsidRDefault="00A95F8D">
      <w:pPr>
        <w:ind w:firstLine="680"/>
        <w:jc w:val="both"/>
        <w:rPr>
          <w:szCs w:val="28"/>
        </w:rPr>
      </w:pPr>
      <w:r>
        <w:rPr>
          <w:szCs w:val="28"/>
        </w:rPr>
        <w:t>- при анализе показателей, отраженных в отчетных формах МУП КХ «Круглолесское» и в бухгалтерском учете предприятия установлено, что в нару</w:t>
      </w:r>
      <w:r>
        <w:rPr>
          <w:szCs w:val="28"/>
        </w:rPr>
        <w:t>шение приказа Минфина РФ от 31 октября 2000 года № 94н «Об утверждении Плана счетов бухгалтерского учета финансово-хозяйственной деятельности организаций и Инструкции по его применению» (далее – Приказ №94н), для учета имущества, переданного собственниками</w:t>
      </w:r>
      <w:r>
        <w:rPr>
          <w:szCs w:val="28"/>
        </w:rPr>
        <w:t xml:space="preserve"> (учредителями, участниками), не используется счет 80 «Уставный капитал», при этом в соответствии с п. 3.3. ч. 3 Устава МУП КХ «Круглолесское» предприятие имеет уставной фонд в размере 100,45 тыс. рублей. Также проверкой установлено, что предприятием не ис</w:t>
      </w:r>
      <w:r>
        <w:rPr>
          <w:szCs w:val="28"/>
        </w:rPr>
        <w:t>пользуется счет 20 «Основное производство», предназначенный для обобщения информации о затратах производства, продукция (работы, услуги) которого явилась целью создания данной организации.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>На отчетную дату по представлению от 25.04.2022 года № 68/3п, внесе</w:t>
      </w:r>
      <w:r>
        <w:rPr>
          <w:szCs w:val="28"/>
          <w:lang w:eastAsia="en-US"/>
        </w:rPr>
        <w:t xml:space="preserve">нному в адрес муниципального унитарного предприятия коммунального хозяйства </w:t>
      </w:r>
      <w:r>
        <w:rPr>
          <w:szCs w:val="28"/>
        </w:rPr>
        <w:t>Александровского муниципального округа Ставропольского края «Коммунальное хозяйство «Круглолесское» полностью выполнены  требования.</w:t>
      </w:r>
    </w:p>
    <w:p w:rsidR="000F3504" w:rsidRDefault="00A95F8D">
      <w:pPr>
        <w:ind w:firstLine="680"/>
        <w:jc w:val="both"/>
        <w:rPr>
          <w:szCs w:val="28"/>
        </w:rPr>
      </w:pPr>
      <w:r>
        <w:rPr>
          <w:i/>
          <w:szCs w:val="28"/>
          <w:lang w:eastAsia="en-US"/>
        </w:rPr>
        <w:t xml:space="preserve"> </w:t>
      </w:r>
      <w:r>
        <w:rPr>
          <w:i/>
          <w:szCs w:val="28"/>
          <w:lang w:eastAsia="en-US"/>
        </w:rPr>
        <w:t>6)</w:t>
      </w:r>
      <w:r>
        <w:rPr>
          <w:i/>
          <w:szCs w:val="28"/>
        </w:rPr>
        <w:t xml:space="preserve"> Проверка достоверности финансовых операций,</w:t>
      </w:r>
      <w:r>
        <w:rPr>
          <w:i/>
          <w:szCs w:val="28"/>
        </w:rPr>
        <w:t xml:space="preserve"> бюджетного учета, целевого использования средств Александровского муниципального округа Ставропольского края в муниципальном унитарном предприятии «Александровское» по оказанию посреднических, консультационных и информационно-справочных услуг.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Объем прове</w:t>
      </w:r>
      <w:r>
        <w:rPr>
          <w:szCs w:val="28"/>
        </w:rPr>
        <w:t>ренных средств – 33 126,74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нарушений – 7 418,32 тыс. рублей (51 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Основные нарушения, выявленные в ходе контрольного мероприятия: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i/>
          <w:color w:val="000000"/>
          <w:szCs w:val="28"/>
        </w:rPr>
        <w:t xml:space="preserve">- </w:t>
      </w:r>
      <w:r>
        <w:rPr>
          <w:szCs w:val="28"/>
        </w:rPr>
        <w:t>в нарушение п.п. 5 ст. 8 Закона № 161-ФЗ, отсутствует порядок определения состава им</w:t>
      </w:r>
      <w:r>
        <w:rPr>
          <w:szCs w:val="28"/>
        </w:rPr>
        <w:t xml:space="preserve">ущества, закрепляемого за унитарным предприятием на </w:t>
      </w:r>
      <w:r>
        <w:rPr>
          <w:szCs w:val="28"/>
        </w:rPr>
        <w:lastRenderedPageBreak/>
        <w:t>праве хозяйственного ведения или на праве оперативного управления, а также порядок утверждения Устава унитарного предприятия и заключения контракта с его руководителем;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- согласно данным годовой отчетност</w:t>
      </w:r>
      <w:r>
        <w:rPr>
          <w:szCs w:val="28"/>
        </w:rPr>
        <w:t>и размер дебиторской задолженности на 01.01.2021 г. составил 391,00 тыс. рублей, в том числе дебиторская задолженность от населения 225,00 тыс. рублей.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Вся задолженность является просроченной. Просроченная дебиторская задолженность числится на балансе, одн</w:t>
      </w:r>
      <w:r>
        <w:rPr>
          <w:szCs w:val="28"/>
        </w:rPr>
        <w:t>ако Предприятием претензионная работа не проводится;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- в нарушение ч. 2 ст. 17 Закона № 161-ФЗ, отсутствует нормативный документ, устанавливающий порядок, размеры и сроки перечисления части прибыли в бюджет округа, остающейся в распоряжении МУП «Александро</w:t>
      </w:r>
      <w:r>
        <w:rPr>
          <w:szCs w:val="28"/>
        </w:rPr>
        <w:t>вское» после уплаты налогов и иных обязательных платежей.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 xml:space="preserve">На отчетную дату по представлению от 26.01.2022 года № 15/1п, внесенному в адрес </w:t>
      </w:r>
      <w:r>
        <w:rPr>
          <w:szCs w:val="28"/>
        </w:rPr>
        <w:t>Александровского муниципального округа Ставропольского края в муниципальном унитарном предприятии «Александровское» п</w:t>
      </w:r>
      <w:r>
        <w:rPr>
          <w:szCs w:val="28"/>
        </w:rPr>
        <w:t>о оказанию посреднических, консультационных и информационно-справочных услуг полностью выполнены требования.</w:t>
      </w:r>
    </w:p>
    <w:p w:rsidR="000F3504" w:rsidRDefault="00A95F8D">
      <w:pPr>
        <w:ind w:firstLine="737"/>
        <w:jc w:val="both"/>
      </w:pPr>
      <w:r>
        <w:rPr>
          <w:i/>
          <w:szCs w:val="28"/>
        </w:rPr>
        <w:t>7) Проверка законности, результативности (эффективности и экономности) использования средств бюджета Александровского муниципального округа Ставроп</w:t>
      </w:r>
      <w:r>
        <w:rPr>
          <w:i/>
          <w:szCs w:val="28"/>
        </w:rPr>
        <w:t>ольского края, выделенных в 2021 году и истекшем периоде 2022 года на реализацию мероприятий подпрограммы «Обеспечение реализации муниципальной программы Александровского муниципального округа Ставропольского края «Профилактика правонарушений» и общепрогра</w:t>
      </w:r>
      <w:r>
        <w:rPr>
          <w:i/>
          <w:szCs w:val="28"/>
        </w:rPr>
        <w:t>ммные мероприятия» муниципальной программы «Профилактика правонарушений».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Объем проверенных средств – 478,88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нарушений – 2,91 тыс. рублей (18 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Основные нарушения, выявленные в ходе контрольного мероприятия: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i/>
          <w:color w:val="000000"/>
          <w:szCs w:val="28"/>
        </w:rPr>
        <w:t xml:space="preserve">- </w:t>
      </w:r>
      <w:r>
        <w:rPr>
          <w:szCs w:val="28"/>
        </w:rPr>
        <w:t>учреждениями образования (МОУ СОШ № 3, МОУ СОШ № 16,      МОУ СОШ № 5, МОУ ООШ № 12, МОУ ООШ № 13 допущено неверное исчисление заработной платы.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Допущенное неверное исчисление заработной платы в сумме 2 907,35 рублей является неэффективным использованием с</w:t>
      </w:r>
      <w:r>
        <w:rPr>
          <w:szCs w:val="28"/>
        </w:rPr>
        <w:t xml:space="preserve">редств бюджета округа и является </w:t>
      </w:r>
      <w:r>
        <w:rPr>
          <w:i/>
          <w:iCs/>
          <w:szCs w:val="28"/>
        </w:rPr>
        <w:t>нарушением ст. 34 Бюджетного Кодекса Российской Федерации.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 xml:space="preserve">На отчетную дату по представлению от 01.07.2022 года № 126/4п, внесенному в адрес </w:t>
      </w:r>
      <w:r>
        <w:rPr>
          <w:szCs w:val="28"/>
        </w:rPr>
        <w:t>отдела образования администрации Александровского муниципального округа Ставрополь</w:t>
      </w:r>
      <w:r>
        <w:rPr>
          <w:szCs w:val="28"/>
        </w:rPr>
        <w:t>ского края полностью выполнены  требования.</w:t>
      </w:r>
    </w:p>
    <w:p w:rsidR="000F3504" w:rsidRDefault="00A95F8D">
      <w:pPr>
        <w:snapToGrid w:val="0"/>
        <w:spacing w:line="240" w:lineRule="atLeast"/>
        <w:ind w:firstLine="737"/>
        <w:jc w:val="both"/>
        <w:outlineLvl w:val="2"/>
      </w:pPr>
      <w:r>
        <w:rPr>
          <w:i/>
          <w:szCs w:val="28"/>
        </w:rPr>
        <w:t>8) Проверка законности, результативности (эффективности и экономности) использования средств бюджета Александровского муниципального округа Ставропольского края и порядка оказания государственной социальной помощ</w:t>
      </w:r>
      <w:r>
        <w:rPr>
          <w:i/>
          <w:szCs w:val="28"/>
        </w:rPr>
        <w:t>и на основании социального контракта отдельным категориям граждан в 2021 году.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Объем проверенных средств – 11 622,66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Общий объем выявленных нарушений – 0,00 тыс. рублей (1ед.).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Основные нарушения, выявленные в ходе контрольного мероприятия: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b/>
          <w:i/>
          <w:szCs w:val="28"/>
          <w:lang w:eastAsia="en-US"/>
        </w:rPr>
        <w:t xml:space="preserve">- </w:t>
      </w:r>
      <w:r>
        <w:rPr>
          <w:szCs w:val="28"/>
        </w:rPr>
        <w:t>пп. 2.6.1. п. 2.6. Административного регламента предоставления управлением труда и социальной защиты населения администрации Александровского муниципального округа Ставропольского края государственной услуги «Назначение и выплата государственной социальной</w:t>
      </w:r>
      <w:r>
        <w:rPr>
          <w:szCs w:val="28"/>
        </w:rPr>
        <w:t xml:space="preserve"> помощи населению Ставропольского края на основании социального контракта»,</w:t>
      </w:r>
      <w:r>
        <w:rPr>
          <w:szCs w:val="28"/>
          <w:lang w:eastAsia="en-US"/>
        </w:rPr>
        <w:t xml:space="preserve"> </w:t>
      </w:r>
      <w:r>
        <w:rPr>
          <w:szCs w:val="28"/>
        </w:rPr>
        <w:t xml:space="preserve">утвержденного постановлением администрации Александровского муниципального округа Ставропольского края от 02 июня 2021 года № 518 (далее - Административный регламент) требование о </w:t>
      </w:r>
      <w:r>
        <w:rPr>
          <w:szCs w:val="28"/>
        </w:rPr>
        <w:t>предоставлении заявителем вместе с заявлением документов,</w:t>
      </w:r>
      <w:r>
        <w:rPr>
          <w:szCs w:val="28"/>
          <w:lang w:eastAsia="en-US"/>
        </w:rPr>
        <w:t xml:space="preserve"> </w:t>
      </w:r>
      <w:r>
        <w:rPr>
          <w:szCs w:val="28"/>
        </w:rPr>
        <w:t>подтверждающих факт совместного проживания заявителя с членами семьи и документов, подтверждающих родство и (или) свойство (свидетельство о рождении, свидетельство о заключении (расторжении) брака),</w:t>
      </w:r>
      <w:r>
        <w:rPr>
          <w:szCs w:val="28"/>
        </w:rPr>
        <w:t xml:space="preserve"> не соответствует положениям установленным п. 17 Порядка оказания государственной социальной помощи населению Ставропольского края на основании социального контракта, утвержденного постановлением Правительства Ставропольского края от 29 января 2014 года № </w:t>
      </w:r>
      <w:r>
        <w:rPr>
          <w:szCs w:val="28"/>
        </w:rPr>
        <w:t>19-п.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>Представление Управлению труда и социальной защиты населения администрации Александровского муниципального округа Ставропольского края не выставлялось, так как в ходе проверке грубых нарушений не установлено.</w:t>
      </w:r>
    </w:p>
    <w:p w:rsidR="000F3504" w:rsidRDefault="00A95F8D">
      <w:pPr>
        <w:snapToGrid w:val="0"/>
        <w:spacing w:line="240" w:lineRule="atLeast"/>
        <w:ind w:firstLine="680"/>
        <w:jc w:val="both"/>
        <w:outlineLvl w:val="2"/>
      </w:pPr>
      <w:r>
        <w:rPr>
          <w:i/>
          <w:szCs w:val="28"/>
        </w:rPr>
        <w:t xml:space="preserve">9) Проверка законности, результативности </w:t>
      </w:r>
      <w:r>
        <w:rPr>
          <w:i/>
          <w:szCs w:val="28"/>
        </w:rPr>
        <w:t>(эффективности и экономности) использования средств бюджета Александровского муниципального округа Ставропольского края выделенных на реализацию регионального проекта «Финансовая поддержка семей при рождении детей» в 2021 году.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Объем проверенных средств – </w:t>
      </w:r>
      <w:r>
        <w:rPr>
          <w:szCs w:val="28"/>
        </w:rPr>
        <w:t>90 624,17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нарушений – 300,00 тыс. рублей (2 ед.).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Основные нарушения, выявленные в ходе контрольного мероприятия:</w:t>
      </w:r>
    </w:p>
    <w:p w:rsidR="000F3504" w:rsidRDefault="00A95F8D">
      <w:pPr>
        <w:pStyle w:val="ConsPlusNormal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несвоевременное приведение ответственным исполнителем параметров финансового обеспечения Программы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тветствие с Решением о местном бюджете на 2021 год и плановый период 2022 и 2023 годов, что является нарушением абз. 4 п. 2 ст. 179 Бюджетного кодекса Российской Федерации, п. 30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Александровского муниципального округа Ставропольского края, утвержденного постановлением администрации Александровского муниципального округа Ставропольского края от 04.12.2020 г. № 5.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  <w:lang w:eastAsia="en-US"/>
        </w:rPr>
        <w:t>Представление Управлению труда и социальной защиты населения администр</w:t>
      </w:r>
      <w:r>
        <w:rPr>
          <w:szCs w:val="28"/>
          <w:lang w:eastAsia="en-US"/>
        </w:rPr>
        <w:t>ации Александровского муниципального округа Ставропольского края не выставлялось, так как в ходе проверке грубых нарушений не установлено.</w:t>
      </w:r>
    </w:p>
    <w:p w:rsidR="000F3504" w:rsidRDefault="00A95F8D">
      <w:pPr>
        <w:snapToGrid w:val="0"/>
        <w:spacing w:line="240" w:lineRule="atLeast"/>
        <w:ind w:firstLine="737"/>
        <w:jc w:val="both"/>
        <w:outlineLvl w:val="2"/>
      </w:pPr>
      <w:r>
        <w:rPr>
          <w:i/>
          <w:szCs w:val="28"/>
        </w:rPr>
        <w:t>10) Проверка правильности начисления и выплаты заработной платы МУК «Александровская межпоселенческая центральная рай</w:t>
      </w:r>
      <w:r>
        <w:rPr>
          <w:i/>
          <w:szCs w:val="28"/>
        </w:rPr>
        <w:t>онная библиотека».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Объем проверенных средств – 26 755,65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нарушений – 0,00 тыс. рублей (0ед.).</w:t>
      </w:r>
    </w:p>
    <w:p w:rsidR="000F3504" w:rsidRDefault="00A95F8D">
      <w:pPr>
        <w:snapToGrid w:val="0"/>
        <w:spacing w:line="240" w:lineRule="atLeast"/>
        <w:ind w:firstLine="737"/>
        <w:jc w:val="both"/>
        <w:outlineLvl w:val="2"/>
        <w:rPr>
          <w:szCs w:val="28"/>
        </w:rPr>
      </w:pPr>
      <w:r>
        <w:rPr>
          <w:szCs w:val="28"/>
        </w:rPr>
        <w:t>Информация о проведении контрольного мероприятия направлена в прокуратуру Александровского района (нарушений не установлено).</w:t>
      </w:r>
    </w:p>
    <w:p w:rsidR="000F3504" w:rsidRDefault="00A95F8D">
      <w:pPr>
        <w:ind w:firstLine="737"/>
        <w:jc w:val="both"/>
      </w:pPr>
      <w:r>
        <w:rPr>
          <w:i/>
          <w:szCs w:val="28"/>
        </w:rPr>
        <w:t>11) О</w:t>
      </w:r>
      <w:r>
        <w:rPr>
          <w:i/>
          <w:szCs w:val="28"/>
          <w:lang w:eastAsia="ar-SA"/>
        </w:rPr>
        <w:t xml:space="preserve"> проведении проверки </w:t>
      </w:r>
      <w:r>
        <w:rPr>
          <w:i/>
          <w:szCs w:val="28"/>
        </w:rPr>
        <w:t>целевого и рационального использования бюджетных средств, выделенных на строительство, реконструкцию, ремонт и содержание дорог Александровского муниципального округа Ставропольского края за девять месяцев 2022 года.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Объем провере</w:t>
      </w:r>
      <w:r>
        <w:rPr>
          <w:szCs w:val="28"/>
        </w:rPr>
        <w:t>нных средств – 156 099,31 тыс. рублей.</w:t>
      </w:r>
    </w:p>
    <w:p w:rsidR="000F3504" w:rsidRDefault="00A95F8D">
      <w:pPr>
        <w:pStyle w:val="af5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>Общий объем выявленных нарушений – 230,00 тыс. рублей (нарушение сроков оплаты выполненных услуг, 3 ед.).</w:t>
      </w:r>
    </w:p>
    <w:p w:rsidR="000F3504" w:rsidRDefault="00A95F8D">
      <w:pPr>
        <w:snapToGrid w:val="0"/>
        <w:spacing w:line="240" w:lineRule="atLeast"/>
        <w:ind w:firstLine="737"/>
        <w:jc w:val="both"/>
        <w:outlineLvl w:val="2"/>
        <w:rPr>
          <w:szCs w:val="28"/>
        </w:rPr>
      </w:pPr>
      <w:r>
        <w:rPr>
          <w:szCs w:val="28"/>
        </w:rPr>
        <w:t xml:space="preserve">Информация о проведении контрольного мероприятия направлена в прокуратуру Александровского района (установлено </w:t>
      </w:r>
      <w:r>
        <w:rPr>
          <w:szCs w:val="28"/>
        </w:rPr>
        <w:t>три нарушения).</w:t>
      </w:r>
    </w:p>
    <w:p w:rsidR="000F3504" w:rsidRDefault="000F3504">
      <w:pPr>
        <w:pStyle w:val="ConsPlusNormal0"/>
        <w:tabs>
          <w:tab w:val="left" w:pos="3828"/>
        </w:tabs>
        <w:spacing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F3504" w:rsidRDefault="00A95F8D">
      <w:pPr>
        <w:pStyle w:val="Default"/>
        <w:ind w:firstLine="709"/>
        <w:jc w:val="center"/>
      </w:pPr>
      <w:r>
        <w:rPr>
          <w:sz w:val="28"/>
          <w:szCs w:val="28"/>
        </w:rPr>
        <w:t>3. Результаты экспертно-аналитических мероприятий</w:t>
      </w:r>
    </w:p>
    <w:p w:rsidR="000F3504" w:rsidRDefault="000F3504">
      <w:pPr>
        <w:pStyle w:val="Default"/>
        <w:ind w:firstLine="709"/>
        <w:jc w:val="both"/>
        <w:rPr>
          <w:b/>
          <w:bCs/>
          <w:sz w:val="28"/>
          <w:szCs w:val="28"/>
          <w:u w:val="single"/>
        </w:rPr>
      </w:pP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 xml:space="preserve">В 2022 году экспертно-аналитическая деятельность Контрольно-счетной палаты осуществлялась на основе БК РФ, действующего федерального законодательства и законодательства Ставропольского края, с учетом Плана работы Контрольно-счетной палаты на 2022 год. 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>Про</w:t>
      </w:r>
      <w:r>
        <w:rPr>
          <w:szCs w:val="28"/>
        </w:rPr>
        <w:t>ведено 68 экспертно-аналитических мероприятий, из которых: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 xml:space="preserve">- 3 мониторинга о ходе исполнения бюджета Александровского  муниципального округа Ставропольского края (далее – бюджет округа) за первый квартал, полугодие и девять месяцев 2022 года; 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>- 1 мероприя</w:t>
      </w:r>
      <w:r>
        <w:rPr>
          <w:szCs w:val="28"/>
        </w:rPr>
        <w:t xml:space="preserve">тие по внешней проверке годового отчета об исполнении бюджета округа; 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 xml:space="preserve">- 18 мероприятий внешняя проверка бюджетной (бухгалтерской) отчетности главных администраторов бюджетных средств за 2021 год; 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>- 13 мероприятий на проекты решений Совета депутатов (на п</w:t>
      </w:r>
      <w:r>
        <w:rPr>
          <w:szCs w:val="28"/>
        </w:rPr>
        <w:t>роекты решений Совета депутатов о внесении изменений в бюджет на 2022 год и плановый период 2023 и 2024 годов);</w:t>
      </w:r>
    </w:p>
    <w:p w:rsidR="000F3504" w:rsidRDefault="00A95F8D">
      <w:pPr>
        <w:widowControl w:val="0"/>
        <w:tabs>
          <w:tab w:val="left" w:pos="630"/>
        </w:tabs>
        <w:ind w:firstLine="737"/>
        <w:jc w:val="both"/>
        <w:rPr>
          <w:szCs w:val="28"/>
        </w:rPr>
      </w:pPr>
      <w:r>
        <w:rPr>
          <w:szCs w:val="28"/>
        </w:rPr>
        <w:t>- 2 мероприятия на проект решения Совета депутатов о бюджете на 2023 год и плановый период 2024 и 2025 годов;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>- 28 мероприятий финансово-экономи</w:t>
      </w:r>
      <w:r>
        <w:rPr>
          <w:szCs w:val="28"/>
        </w:rPr>
        <w:t>ческих экспертиз на внесения изменений в муниципальные программы;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>- 3 на проекты иных муниципальных правовых актов.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 xml:space="preserve">По итогам экспертно-аналитических мероприятий выносились рекомендации в рамках рассматриваемых направлений с учетом требований действующего </w:t>
      </w:r>
      <w:r>
        <w:rPr>
          <w:szCs w:val="28"/>
        </w:rPr>
        <w:t xml:space="preserve">законодательства. Все экспертно-аналитические мероприятия проводились в соответствии с установленными стандартами внешнего муниципального финансового контроля (СВМФК) и методических материалов. 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>Вместе с тем, зачастую проекты муниципальных правовых актов и</w:t>
      </w:r>
      <w:r>
        <w:rPr>
          <w:szCs w:val="28"/>
        </w:rPr>
        <w:t xml:space="preserve"> финансово-экономические обоснования к ним, направляемые в Контрольно-счетную палату на финансово-экономическую экспертизу, имели низкое качество, в отдельных случаях отсутствовало финансово-экономическое </w:t>
      </w:r>
      <w:r>
        <w:rPr>
          <w:szCs w:val="28"/>
        </w:rPr>
        <w:lastRenderedPageBreak/>
        <w:t>обоснование.</w:t>
      </w:r>
    </w:p>
    <w:p w:rsidR="000F3504" w:rsidRDefault="00A95F8D">
      <w:pPr>
        <w:widowControl w:val="0"/>
        <w:ind w:firstLine="737"/>
        <w:jc w:val="both"/>
        <w:rPr>
          <w:szCs w:val="28"/>
        </w:rPr>
      </w:pPr>
      <w:r>
        <w:rPr>
          <w:szCs w:val="28"/>
        </w:rPr>
        <w:t>По итогам экспертно-аналитических меро</w:t>
      </w:r>
      <w:r>
        <w:rPr>
          <w:szCs w:val="28"/>
        </w:rPr>
        <w:t xml:space="preserve">приятий выявлено 49 случаев нарушений (23 - при формировании и исполнении бюджета на сумму         543,17 тыс. рублей, 26 - при составлении и представлении бухгалтерской (бюджетной) отчетности на сумму 12 080,89 тыс. рублей). </w:t>
      </w:r>
    </w:p>
    <w:p w:rsidR="000F3504" w:rsidRDefault="000F3504">
      <w:pPr>
        <w:pStyle w:val="ConsPlusNormal0"/>
        <w:tabs>
          <w:tab w:val="left" w:pos="3828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504" w:rsidRDefault="00A95F8D">
      <w:pPr>
        <w:spacing w:line="240" w:lineRule="exact"/>
        <w:ind w:firstLine="709"/>
        <w:jc w:val="center"/>
      </w:pPr>
      <w:r>
        <w:rPr>
          <w:szCs w:val="28"/>
        </w:rPr>
        <w:t>4. Взаимодействие с государс</w:t>
      </w:r>
      <w:r>
        <w:rPr>
          <w:szCs w:val="28"/>
        </w:rPr>
        <w:t>твенными органами, органами местного самоуправления и муниципальными органами</w:t>
      </w:r>
    </w:p>
    <w:p w:rsidR="000F3504" w:rsidRDefault="000F3504">
      <w:pPr>
        <w:spacing w:line="240" w:lineRule="exact"/>
        <w:ind w:firstLine="709"/>
        <w:jc w:val="both"/>
        <w:rPr>
          <w:szCs w:val="28"/>
        </w:rPr>
      </w:pP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 xml:space="preserve">По материалам проведенных контрольных мероприятий направлено семь представлений для принятия мер по устранению нарушений. В результате в учреждениях привлечены к дисциплинарной </w:t>
      </w:r>
      <w:r>
        <w:rPr>
          <w:szCs w:val="28"/>
        </w:rPr>
        <w:t>ответственности четыре должностных лица.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Реализуя принцип гласности, Контрольно-счетная палата в отчетном году непрерывно проводила работу по информированию общественности о результатах своей деятельности через интернет ресурсы.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 xml:space="preserve">В течение 2022 года на </w:t>
      </w:r>
      <w:r>
        <w:rPr>
          <w:szCs w:val="28"/>
        </w:rPr>
        <w:t>официальном сайте администрации Александровского муниципального округа произведена публикация 86 материала, отражающих деятельность Контрольно-счетной палаты.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По поручению прокуратуры Александровского района в 2022 году проведено 7 контрольных мероприятий,</w:t>
      </w:r>
      <w:r>
        <w:rPr>
          <w:szCs w:val="28"/>
        </w:rPr>
        <w:t xml:space="preserve"> что отражено в разделе 2 настоящего отчета.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В 2022 году Контрольно-счетная палата вступила в Союз муниципальных контрольно-счетных органов.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 xml:space="preserve">За отчетный период сотрудники Контрольно-счетной палаты ознакомились с материалами семинаров, проведенных в режиме </w:t>
      </w:r>
      <w:r>
        <w:rPr>
          <w:szCs w:val="28"/>
        </w:rPr>
        <w:t>видеоконференций, организованных Союзом муниципальных контрольно-счетных органов.</w:t>
      </w:r>
    </w:p>
    <w:p w:rsidR="000F3504" w:rsidRDefault="00A95F8D">
      <w:pPr>
        <w:ind w:firstLine="737"/>
        <w:jc w:val="both"/>
        <w:rPr>
          <w:szCs w:val="28"/>
        </w:rPr>
      </w:pPr>
      <w:r>
        <w:rPr>
          <w:szCs w:val="28"/>
        </w:rPr>
        <w:t>В целях обмена опытом в течение отчетного периода Контрольно-счетная палата взаимодействовала с контрольно-счетными органами муниципальных образований Ставропольского края по</w:t>
      </w:r>
      <w:r>
        <w:rPr>
          <w:szCs w:val="28"/>
        </w:rPr>
        <w:t xml:space="preserve"> возникающим практическим вопросам деятельности (Изобильненский, Ипатовский, Минераловодский, Буденновский городские округа).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В течение 2022 года Контрольно-счетной палатой проводился мониторинг правоприменения нормативных правовых актов, принятых Контроль</w:t>
      </w:r>
      <w:r>
        <w:rPr>
          <w:szCs w:val="28"/>
        </w:rPr>
        <w:t>но-счетной палатой. Результаты мониторинга учтены при планировании деятельности Контрольно-счетной палаты, разработке и принятии нормативных правовых актов.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За истекший год председатель и инспектор Контрольно-счетной палаты прошли профессиональную подготов</w:t>
      </w:r>
      <w:r>
        <w:rPr>
          <w:szCs w:val="28"/>
        </w:rPr>
        <w:t>ку в Федеральном государственном бюджетном образовательном учреждении высшего образования «Российский экономический университет имени Г.В. Плеханова» по программе «Современные тенденции совершенствования методологии и практики внешнего муниципального финан</w:t>
      </w:r>
      <w:r>
        <w:rPr>
          <w:szCs w:val="28"/>
        </w:rPr>
        <w:t>сового контроля».</w:t>
      </w:r>
    </w:p>
    <w:p w:rsidR="000F3504" w:rsidRDefault="000F3504">
      <w:pPr>
        <w:spacing w:line="240" w:lineRule="exact"/>
        <w:rPr>
          <w:szCs w:val="28"/>
        </w:rPr>
      </w:pPr>
    </w:p>
    <w:p w:rsidR="000F3504" w:rsidRDefault="00A95F8D">
      <w:pPr>
        <w:spacing w:line="240" w:lineRule="exact"/>
        <w:ind w:firstLine="709"/>
        <w:jc w:val="both"/>
      </w:pPr>
      <w:r>
        <w:rPr>
          <w:szCs w:val="28"/>
        </w:rPr>
        <w:t>5. Внутренние вопросы деятельности Контрольно-счетной палаты</w:t>
      </w:r>
    </w:p>
    <w:p w:rsidR="000F3504" w:rsidRDefault="000F3504">
      <w:pPr>
        <w:spacing w:line="240" w:lineRule="exact"/>
        <w:ind w:firstLine="709"/>
        <w:jc w:val="both"/>
        <w:rPr>
          <w:b/>
          <w:szCs w:val="28"/>
          <w:u w:val="single"/>
        </w:rPr>
      </w:pP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Деятельность Контрольно-счетной палаты в 2022 году по-прежнему направлена на содействие усилению общественного контроля за использованием муниципальных ресурсов, соблюдением з</w:t>
      </w:r>
      <w:r>
        <w:rPr>
          <w:szCs w:val="28"/>
        </w:rPr>
        <w:t>аконности, обеспечением эффективности бюджетных расходов, повышению результативности решений вопросов местного значения.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 xml:space="preserve">План работы утвержден с учетом необходимости выполнения полномочий, возложенных на органы внешнего муниципального финансового контроля </w:t>
      </w:r>
      <w:r>
        <w:rPr>
          <w:szCs w:val="28"/>
        </w:rPr>
        <w:t>Федеральным законом № 6-ФЗ.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На особом контроле мониторинг реализации национальных проектов та территории округа, выявление и упреждение рисков нарушения (несоблюдения) условий предоставления межбюджетных трансфертов.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Важными останутся вопросы методологичес</w:t>
      </w:r>
      <w:r>
        <w:rPr>
          <w:szCs w:val="28"/>
        </w:rPr>
        <w:t>кого и информационного обеспечения, разработка и адаптация стандартов финансового контроля, постоянное профессиональное развитие работников Контрольно-счетной палаты, проведение антикоррупционной деятельности в рамках полномочий.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>Постоянным и непрерывным о</w:t>
      </w:r>
      <w:r>
        <w:rPr>
          <w:szCs w:val="28"/>
        </w:rPr>
        <w:t>станется контроль за устранением выявленных Контрольно-счетной палатой нарушений и недостатков.</w:t>
      </w:r>
    </w:p>
    <w:p w:rsidR="000F3504" w:rsidRDefault="00A95F8D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деятельность Контрольно-счетной палаты направлена на дальнейшее совершенствование внешнего муниципального контроля с целью повышения качества </w:t>
      </w:r>
      <w:r>
        <w:rPr>
          <w:szCs w:val="28"/>
        </w:rPr>
        <w:t>бюджетного процесса в округе, управления муниципальными ресурсами.</w:t>
      </w:r>
    </w:p>
    <w:sectPr w:rsidR="000F350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8D" w:rsidRDefault="00A95F8D">
      <w:r>
        <w:separator/>
      </w:r>
    </w:p>
  </w:endnote>
  <w:endnote w:type="continuationSeparator" w:id="0">
    <w:p w:rsidR="00A95F8D" w:rsidRDefault="00A9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8D" w:rsidRDefault="00A95F8D">
      <w:pPr>
        <w:rPr>
          <w:sz w:val="12"/>
        </w:rPr>
      </w:pPr>
      <w:r>
        <w:separator/>
      </w:r>
    </w:p>
  </w:footnote>
  <w:footnote w:type="continuationSeparator" w:id="0">
    <w:p w:rsidR="00A95F8D" w:rsidRDefault="00A95F8D">
      <w:pPr>
        <w:rPr>
          <w:sz w:val="12"/>
        </w:rPr>
      </w:pPr>
      <w:r>
        <w:continuationSeparator/>
      </w:r>
    </w:p>
  </w:footnote>
  <w:footnote w:id="1">
    <w:p w:rsidR="000F3504" w:rsidRDefault="00A95F8D">
      <w:pPr>
        <w:pStyle w:val="af3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f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Одобрен Советом контрольно-счетных органов при Счетной палате Российской Федерации 17.12.2014 (протокол № 2-СКСО)</w:t>
      </w:r>
      <w:r>
        <w:rPr>
          <w:rFonts w:ascii="Times New Roman" w:hAnsi="Times New Roman"/>
          <w:sz w:val="20"/>
          <w:szCs w:val="20"/>
          <w:lang w:eastAsia="ru-RU"/>
        </w:rPr>
        <w:t xml:space="preserve"> (с учетом актуализации).</w:t>
      </w:r>
    </w:p>
  </w:footnote>
  <w:footnote w:id="2">
    <w:p w:rsidR="000F3504" w:rsidRDefault="00A95F8D">
      <w:pPr>
        <w:pStyle w:val="af3"/>
        <w:jc w:val="both"/>
        <w:rPr>
          <w:rFonts w:ascii="Times New Roman" w:hAnsi="Times New Roman"/>
          <w:sz w:val="20"/>
          <w:szCs w:val="20"/>
        </w:rPr>
      </w:pPr>
      <w:r>
        <w:rPr>
          <w:rStyle w:val="af0"/>
        </w:rPr>
        <w:footnoteRef/>
      </w:r>
    </w:p>
    <w:p w:rsidR="000F3504" w:rsidRDefault="00A95F8D">
      <w:pPr>
        <w:pStyle w:val="af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Утвержден руководителем Федерального казначейства Р.Е.Артюхиным 19.12.2017 (с учётом актуализации).</w:t>
      </w:r>
    </w:p>
  </w:footnote>
  <w:footnote w:id="3">
    <w:p w:rsidR="000F3504" w:rsidRDefault="00A95F8D">
      <w:pPr>
        <w:pStyle w:val="af"/>
        <w:jc w:val="both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  <w:lang w:eastAsia="ru-RU"/>
        </w:rPr>
        <w:t>ешение Совета депутатов Александровского муниципального округа Ставропольского края от 29.09.2021     № 335/188 «О Контрольн</w:t>
      </w:r>
      <w:r>
        <w:rPr>
          <w:rFonts w:ascii="Times New Roman" w:hAnsi="Times New Roman"/>
          <w:lang w:eastAsia="ru-RU"/>
        </w:rPr>
        <w:t>о-счетной палате Александровского муниципального округа Ставропольского края».</w:t>
      </w:r>
    </w:p>
    <w:p w:rsidR="000F3504" w:rsidRDefault="000F3504">
      <w:pPr>
        <w:pStyle w:val="af"/>
      </w:pPr>
    </w:p>
    <w:p w:rsidR="000F3504" w:rsidRDefault="000F3504">
      <w:pPr>
        <w:pStyle w:val="af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04"/>
    <w:rsid w:val="000F3504"/>
    <w:rsid w:val="006B3FC7"/>
    <w:rsid w:val="00A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1D33FA"/>
    <w:rPr>
      <w:rFonts w:ascii="Times New Roman" w:hAnsi="Times New Roman"/>
      <w:b/>
      <w:sz w:val="24"/>
      <w:lang w:eastAsia="ru-RU"/>
    </w:rPr>
  </w:style>
  <w:style w:type="character" w:customStyle="1" w:styleId="-">
    <w:name w:val="Интернет-ссылка"/>
    <w:uiPriority w:val="99"/>
    <w:rsid w:val="00AF54AE"/>
    <w:rPr>
      <w:color w:val="0000FF"/>
      <w:u w:val="single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AF54AE"/>
    <w:rPr>
      <w:rFonts w:ascii="Segoe UI" w:hAnsi="Segoe UI"/>
      <w:sz w:val="18"/>
      <w:lang w:eastAsia="ru-RU"/>
    </w:rPr>
  </w:style>
  <w:style w:type="character" w:customStyle="1" w:styleId="a5">
    <w:name w:val="Основной текст Знак"/>
    <w:link w:val="a6"/>
    <w:uiPriority w:val="99"/>
    <w:qFormat/>
    <w:locked/>
    <w:rsid w:val="00FD1642"/>
    <w:rPr>
      <w:rFonts w:ascii="Times New Roman" w:hAnsi="Times New Roman"/>
      <w:b/>
      <w:caps/>
      <w:sz w:val="24"/>
      <w:lang w:eastAsia="ru-RU"/>
    </w:rPr>
  </w:style>
  <w:style w:type="character" w:styleId="a7">
    <w:name w:val="annotation reference"/>
    <w:uiPriority w:val="99"/>
    <w:semiHidden/>
    <w:qFormat/>
    <w:rsid w:val="0057161C"/>
    <w:rPr>
      <w:sz w:val="16"/>
    </w:rPr>
  </w:style>
  <w:style w:type="character" w:customStyle="1" w:styleId="a8">
    <w:name w:val="Текст примечания Знак"/>
    <w:link w:val="a9"/>
    <w:uiPriority w:val="99"/>
    <w:semiHidden/>
    <w:qFormat/>
    <w:locked/>
    <w:rsid w:val="0057161C"/>
    <w:rPr>
      <w:rFonts w:ascii="Times New Roman" w:hAnsi="Times New Roman"/>
      <w:sz w:val="20"/>
      <w:lang w:eastAsia="ru-RU"/>
    </w:rPr>
  </w:style>
  <w:style w:type="character" w:customStyle="1" w:styleId="aa">
    <w:name w:val="Тема примечания Знак"/>
    <w:link w:val="ab"/>
    <w:uiPriority w:val="99"/>
    <w:semiHidden/>
    <w:qFormat/>
    <w:locked/>
    <w:rsid w:val="0057161C"/>
    <w:rPr>
      <w:rFonts w:ascii="Times New Roman" w:hAnsi="Times New Roman"/>
      <w:b/>
      <w:sz w:val="20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qFormat/>
    <w:rsid w:val="00561AE9"/>
    <w:rPr>
      <w:rFonts w:ascii="Times New Roman" w:hAnsi="Times New Roman"/>
      <w:sz w:val="28"/>
      <w:szCs w:val="24"/>
    </w:rPr>
  </w:style>
  <w:style w:type="character" w:customStyle="1" w:styleId="ae">
    <w:name w:val="Текст сноски Знак"/>
    <w:basedOn w:val="a0"/>
    <w:link w:val="af"/>
    <w:uiPriority w:val="99"/>
    <w:qFormat/>
    <w:rsid w:val="00581251"/>
    <w:rPr>
      <w:rFonts w:eastAsia="Calibri"/>
      <w:lang w:eastAsia="en-US"/>
    </w:rPr>
  </w:style>
  <w:style w:type="character" w:customStyle="1" w:styleId="af0">
    <w:name w:val="Символ сноски"/>
    <w:uiPriority w:val="99"/>
    <w:unhideWhenUsed/>
    <w:qFormat/>
    <w:rsid w:val="00581251"/>
    <w:rPr>
      <w:vertAlign w:val="superscript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581251"/>
    <w:rPr>
      <w:rFonts w:ascii="Arial" w:hAnsi="Arial" w:cs="Arial"/>
    </w:rPr>
  </w:style>
  <w:style w:type="character" w:customStyle="1" w:styleId="af2">
    <w:name w:val="Без интервала Знак"/>
    <w:link w:val="af3"/>
    <w:uiPriority w:val="1"/>
    <w:qFormat/>
    <w:locked/>
    <w:rsid w:val="00152866"/>
    <w:rPr>
      <w:rFonts w:eastAsia="Calibri"/>
      <w:sz w:val="22"/>
      <w:szCs w:val="22"/>
      <w:lang w:eastAsia="en-US"/>
    </w:rPr>
  </w:style>
  <w:style w:type="character" w:customStyle="1" w:styleId="af4">
    <w:name w:val="Название Знак"/>
    <w:basedOn w:val="a0"/>
    <w:link w:val="af5"/>
    <w:uiPriority w:val="10"/>
    <w:qFormat/>
    <w:rsid w:val="004021D0"/>
    <w:rPr>
      <w:rFonts w:ascii="Times New Roman" w:hAnsi="Times New Roman"/>
      <w:sz w:val="28"/>
      <w:szCs w:val="24"/>
    </w:rPr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af7">
    <w:name w:val="Символ концевой сноски"/>
    <w:qFormat/>
  </w:style>
  <w:style w:type="paragraph" w:customStyle="1" w:styleId="af8">
    <w:name w:val="Заголовок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Cs w:val="28"/>
    </w:rPr>
  </w:style>
  <w:style w:type="paragraph" w:styleId="a6">
    <w:name w:val="Body Text"/>
    <w:basedOn w:val="a"/>
    <w:link w:val="a5"/>
    <w:uiPriority w:val="99"/>
    <w:rsid w:val="00FD1642"/>
    <w:pPr>
      <w:jc w:val="center"/>
    </w:pPr>
    <w:rPr>
      <w:b/>
      <w:bCs/>
      <w:caps/>
    </w:rPr>
  </w:style>
  <w:style w:type="paragraph" w:styleId="af9">
    <w:name w:val="List"/>
    <w:basedOn w:val="a6"/>
    <w:rPr>
      <w:rFonts w:cs="Droid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fb">
    <w:name w:val="index heading"/>
    <w:basedOn w:val="a"/>
    <w:qFormat/>
    <w:pPr>
      <w:suppressLineNumbers/>
    </w:pPr>
    <w:rPr>
      <w:rFonts w:cs="Droid Sans Devanagari"/>
    </w:rPr>
  </w:style>
  <w:style w:type="paragraph" w:styleId="af5">
    <w:name w:val="Title"/>
    <w:basedOn w:val="a"/>
    <w:next w:val="a6"/>
    <w:link w:val="af4"/>
    <w:uiPriority w:val="10"/>
    <w:qFormat/>
    <w:locked/>
    <w:rsid w:val="004021D0"/>
    <w:pPr>
      <w:jc w:val="center"/>
    </w:pPr>
  </w:style>
  <w:style w:type="paragraph" w:styleId="a4">
    <w:name w:val="Balloon Text"/>
    <w:basedOn w:val="a"/>
    <w:link w:val="a3"/>
    <w:uiPriority w:val="99"/>
    <w:semiHidden/>
    <w:qFormat/>
    <w:rsid w:val="00AF54AE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8"/>
    <w:uiPriority w:val="99"/>
    <w:semiHidden/>
    <w:qFormat/>
    <w:rsid w:val="0057161C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qFormat/>
    <w:rsid w:val="0057161C"/>
    <w:rPr>
      <w:b/>
      <w:bCs/>
    </w:rPr>
  </w:style>
  <w:style w:type="paragraph" w:styleId="afc">
    <w:name w:val="Normal (Web)"/>
    <w:basedOn w:val="a"/>
    <w:uiPriority w:val="99"/>
    <w:qFormat/>
    <w:rsid w:val="001D33FA"/>
    <w:pPr>
      <w:spacing w:beforeAutospacing="1" w:afterAutospacing="1"/>
    </w:pPr>
    <w:rPr>
      <w:sz w:val="24"/>
    </w:rPr>
  </w:style>
  <w:style w:type="paragraph" w:styleId="af3">
    <w:name w:val="No Spacing"/>
    <w:link w:val="af2"/>
    <w:uiPriority w:val="1"/>
    <w:qFormat/>
    <w:rsid w:val="000B1498"/>
    <w:rPr>
      <w:rFonts w:eastAsia="Calibri"/>
      <w:sz w:val="22"/>
      <w:szCs w:val="22"/>
      <w:lang w:eastAsia="en-US"/>
    </w:rPr>
  </w:style>
  <w:style w:type="paragraph" w:customStyle="1" w:styleId="Default">
    <w:name w:val="Default"/>
    <w:qFormat/>
    <w:rsid w:val="004A6F38"/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link w:val="ConsPlusNormal"/>
    <w:qFormat/>
    <w:rsid w:val="00F86099"/>
    <w:pPr>
      <w:widowControl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c"/>
    <w:semiHidden/>
    <w:unhideWhenUsed/>
    <w:rsid w:val="00561AE9"/>
    <w:pPr>
      <w:spacing w:after="120"/>
      <w:ind w:left="283"/>
    </w:pPr>
  </w:style>
  <w:style w:type="paragraph" w:customStyle="1" w:styleId="ConsTitle">
    <w:name w:val="ConsTitle"/>
    <w:uiPriority w:val="99"/>
    <w:qFormat/>
    <w:rsid w:val="00561AE9"/>
    <w:pPr>
      <w:widowControl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d">
    <w:name w:val="List Paragraph"/>
    <w:basedOn w:val="a"/>
    <w:uiPriority w:val="34"/>
    <w:qFormat/>
    <w:rsid w:val="00561AE9"/>
    <w:pPr>
      <w:ind w:left="720"/>
      <w:contextualSpacing/>
    </w:pPr>
  </w:style>
  <w:style w:type="paragraph" w:styleId="af">
    <w:name w:val="footnote text"/>
    <w:basedOn w:val="a"/>
    <w:link w:val="ae"/>
    <w:uiPriority w:val="99"/>
    <w:unhideWhenUsed/>
    <w:qFormat/>
    <w:rsid w:val="00581251"/>
    <w:rPr>
      <w:rFonts w:ascii="Calibri" w:eastAsia="Calibri" w:hAnsi="Calibri"/>
      <w:sz w:val="20"/>
      <w:szCs w:val="20"/>
      <w:lang w:eastAsia="en-US"/>
    </w:r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uiPriority w:val="3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1D33FA"/>
    <w:rPr>
      <w:rFonts w:ascii="Times New Roman" w:hAnsi="Times New Roman"/>
      <w:b/>
      <w:sz w:val="24"/>
      <w:lang w:eastAsia="ru-RU"/>
    </w:rPr>
  </w:style>
  <w:style w:type="character" w:customStyle="1" w:styleId="-">
    <w:name w:val="Интернет-ссылка"/>
    <w:uiPriority w:val="99"/>
    <w:rsid w:val="00AF54AE"/>
    <w:rPr>
      <w:color w:val="0000FF"/>
      <w:u w:val="single"/>
    </w:rPr>
  </w:style>
  <w:style w:type="character" w:customStyle="1" w:styleId="a3">
    <w:name w:val="Текст выноски Знак"/>
    <w:link w:val="a4"/>
    <w:uiPriority w:val="99"/>
    <w:semiHidden/>
    <w:qFormat/>
    <w:locked/>
    <w:rsid w:val="00AF54AE"/>
    <w:rPr>
      <w:rFonts w:ascii="Segoe UI" w:hAnsi="Segoe UI"/>
      <w:sz w:val="18"/>
      <w:lang w:eastAsia="ru-RU"/>
    </w:rPr>
  </w:style>
  <w:style w:type="character" w:customStyle="1" w:styleId="a5">
    <w:name w:val="Основной текст Знак"/>
    <w:link w:val="a6"/>
    <w:uiPriority w:val="99"/>
    <w:qFormat/>
    <w:locked/>
    <w:rsid w:val="00FD1642"/>
    <w:rPr>
      <w:rFonts w:ascii="Times New Roman" w:hAnsi="Times New Roman"/>
      <w:b/>
      <w:caps/>
      <w:sz w:val="24"/>
      <w:lang w:eastAsia="ru-RU"/>
    </w:rPr>
  </w:style>
  <w:style w:type="character" w:styleId="a7">
    <w:name w:val="annotation reference"/>
    <w:uiPriority w:val="99"/>
    <w:semiHidden/>
    <w:qFormat/>
    <w:rsid w:val="0057161C"/>
    <w:rPr>
      <w:sz w:val="16"/>
    </w:rPr>
  </w:style>
  <w:style w:type="character" w:customStyle="1" w:styleId="a8">
    <w:name w:val="Текст примечания Знак"/>
    <w:link w:val="a9"/>
    <w:uiPriority w:val="99"/>
    <w:semiHidden/>
    <w:qFormat/>
    <w:locked/>
    <w:rsid w:val="0057161C"/>
    <w:rPr>
      <w:rFonts w:ascii="Times New Roman" w:hAnsi="Times New Roman"/>
      <w:sz w:val="20"/>
      <w:lang w:eastAsia="ru-RU"/>
    </w:rPr>
  </w:style>
  <w:style w:type="character" w:customStyle="1" w:styleId="aa">
    <w:name w:val="Тема примечания Знак"/>
    <w:link w:val="ab"/>
    <w:uiPriority w:val="99"/>
    <w:semiHidden/>
    <w:qFormat/>
    <w:locked/>
    <w:rsid w:val="0057161C"/>
    <w:rPr>
      <w:rFonts w:ascii="Times New Roman" w:hAnsi="Times New Roman"/>
      <w:b/>
      <w:sz w:val="20"/>
      <w:lang w:eastAsia="ru-RU"/>
    </w:rPr>
  </w:style>
  <w:style w:type="character" w:customStyle="1" w:styleId="ac">
    <w:name w:val="Основной текст с отступом Знак"/>
    <w:basedOn w:val="a0"/>
    <w:link w:val="ad"/>
    <w:semiHidden/>
    <w:qFormat/>
    <w:rsid w:val="00561AE9"/>
    <w:rPr>
      <w:rFonts w:ascii="Times New Roman" w:hAnsi="Times New Roman"/>
      <w:sz w:val="28"/>
      <w:szCs w:val="24"/>
    </w:rPr>
  </w:style>
  <w:style w:type="character" w:customStyle="1" w:styleId="ae">
    <w:name w:val="Текст сноски Знак"/>
    <w:basedOn w:val="a0"/>
    <w:link w:val="af"/>
    <w:uiPriority w:val="99"/>
    <w:qFormat/>
    <w:rsid w:val="00581251"/>
    <w:rPr>
      <w:rFonts w:eastAsia="Calibri"/>
      <w:lang w:eastAsia="en-US"/>
    </w:rPr>
  </w:style>
  <w:style w:type="character" w:customStyle="1" w:styleId="af0">
    <w:name w:val="Символ сноски"/>
    <w:uiPriority w:val="99"/>
    <w:unhideWhenUsed/>
    <w:qFormat/>
    <w:rsid w:val="00581251"/>
    <w:rPr>
      <w:vertAlign w:val="superscript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581251"/>
    <w:rPr>
      <w:rFonts w:ascii="Arial" w:hAnsi="Arial" w:cs="Arial"/>
    </w:rPr>
  </w:style>
  <w:style w:type="character" w:customStyle="1" w:styleId="af2">
    <w:name w:val="Без интервала Знак"/>
    <w:link w:val="af3"/>
    <w:uiPriority w:val="1"/>
    <w:qFormat/>
    <w:locked/>
    <w:rsid w:val="00152866"/>
    <w:rPr>
      <w:rFonts w:eastAsia="Calibri"/>
      <w:sz w:val="22"/>
      <w:szCs w:val="22"/>
      <w:lang w:eastAsia="en-US"/>
    </w:rPr>
  </w:style>
  <w:style w:type="character" w:customStyle="1" w:styleId="af4">
    <w:name w:val="Название Знак"/>
    <w:basedOn w:val="a0"/>
    <w:link w:val="af5"/>
    <w:uiPriority w:val="10"/>
    <w:qFormat/>
    <w:rsid w:val="004021D0"/>
    <w:rPr>
      <w:rFonts w:ascii="Times New Roman" w:hAnsi="Times New Roman"/>
      <w:sz w:val="28"/>
      <w:szCs w:val="24"/>
    </w:rPr>
  </w:style>
  <w:style w:type="character" w:customStyle="1" w:styleId="af6">
    <w:name w:val="Привязка концевой сноски"/>
    <w:rPr>
      <w:vertAlign w:val="superscript"/>
    </w:rPr>
  </w:style>
  <w:style w:type="character" w:customStyle="1" w:styleId="af7">
    <w:name w:val="Символ концевой сноски"/>
    <w:qFormat/>
  </w:style>
  <w:style w:type="paragraph" w:customStyle="1" w:styleId="af8">
    <w:name w:val="Заголовок"/>
    <w:basedOn w:val="a"/>
    <w:next w:val="a6"/>
    <w:qFormat/>
    <w:pPr>
      <w:keepNext/>
      <w:spacing w:before="240" w:after="120"/>
    </w:pPr>
    <w:rPr>
      <w:rFonts w:ascii="Arial" w:eastAsia="Tahoma" w:hAnsi="Arial" w:cs="Droid Sans Devanagari"/>
      <w:szCs w:val="28"/>
    </w:rPr>
  </w:style>
  <w:style w:type="paragraph" w:styleId="a6">
    <w:name w:val="Body Text"/>
    <w:basedOn w:val="a"/>
    <w:link w:val="a5"/>
    <w:uiPriority w:val="99"/>
    <w:rsid w:val="00FD1642"/>
    <w:pPr>
      <w:jc w:val="center"/>
    </w:pPr>
    <w:rPr>
      <w:b/>
      <w:bCs/>
      <w:caps/>
    </w:rPr>
  </w:style>
  <w:style w:type="paragraph" w:styleId="af9">
    <w:name w:val="List"/>
    <w:basedOn w:val="a6"/>
    <w:rPr>
      <w:rFonts w:cs="Droid Sans Devanagari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</w:rPr>
  </w:style>
  <w:style w:type="paragraph" w:styleId="afb">
    <w:name w:val="index heading"/>
    <w:basedOn w:val="a"/>
    <w:qFormat/>
    <w:pPr>
      <w:suppressLineNumbers/>
    </w:pPr>
    <w:rPr>
      <w:rFonts w:cs="Droid Sans Devanagari"/>
    </w:rPr>
  </w:style>
  <w:style w:type="paragraph" w:styleId="af5">
    <w:name w:val="Title"/>
    <w:basedOn w:val="a"/>
    <w:next w:val="a6"/>
    <w:link w:val="af4"/>
    <w:uiPriority w:val="10"/>
    <w:qFormat/>
    <w:locked/>
    <w:rsid w:val="004021D0"/>
    <w:pPr>
      <w:jc w:val="center"/>
    </w:pPr>
  </w:style>
  <w:style w:type="paragraph" w:styleId="a4">
    <w:name w:val="Balloon Text"/>
    <w:basedOn w:val="a"/>
    <w:link w:val="a3"/>
    <w:uiPriority w:val="99"/>
    <w:semiHidden/>
    <w:qFormat/>
    <w:rsid w:val="00AF54AE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8"/>
    <w:uiPriority w:val="99"/>
    <w:semiHidden/>
    <w:qFormat/>
    <w:rsid w:val="0057161C"/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qFormat/>
    <w:rsid w:val="0057161C"/>
    <w:rPr>
      <w:b/>
      <w:bCs/>
    </w:rPr>
  </w:style>
  <w:style w:type="paragraph" w:styleId="afc">
    <w:name w:val="Normal (Web)"/>
    <w:basedOn w:val="a"/>
    <w:uiPriority w:val="99"/>
    <w:qFormat/>
    <w:rsid w:val="001D33FA"/>
    <w:pPr>
      <w:spacing w:beforeAutospacing="1" w:afterAutospacing="1"/>
    </w:pPr>
    <w:rPr>
      <w:sz w:val="24"/>
    </w:rPr>
  </w:style>
  <w:style w:type="paragraph" w:styleId="af3">
    <w:name w:val="No Spacing"/>
    <w:link w:val="af2"/>
    <w:uiPriority w:val="1"/>
    <w:qFormat/>
    <w:rsid w:val="000B1498"/>
    <w:rPr>
      <w:rFonts w:eastAsia="Calibri"/>
      <w:sz w:val="22"/>
      <w:szCs w:val="22"/>
      <w:lang w:eastAsia="en-US"/>
    </w:rPr>
  </w:style>
  <w:style w:type="paragraph" w:customStyle="1" w:styleId="Default">
    <w:name w:val="Default"/>
    <w:qFormat/>
    <w:rsid w:val="004A6F38"/>
    <w:rPr>
      <w:rFonts w:ascii="Times New Roman" w:hAnsi="Times New Roman"/>
      <w:color w:val="000000"/>
      <w:sz w:val="24"/>
      <w:szCs w:val="24"/>
    </w:rPr>
  </w:style>
  <w:style w:type="paragraph" w:customStyle="1" w:styleId="ConsPlusNormal0">
    <w:name w:val="ConsPlusNormal"/>
    <w:link w:val="ConsPlusNormal"/>
    <w:qFormat/>
    <w:rsid w:val="00F86099"/>
    <w:pPr>
      <w:widowControl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c"/>
    <w:semiHidden/>
    <w:unhideWhenUsed/>
    <w:rsid w:val="00561AE9"/>
    <w:pPr>
      <w:spacing w:after="120"/>
      <w:ind w:left="283"/>
    </w:pPr>
  </w:style>
  <w:style w:type="paragraph" w:customStyle="1" w:styleId="ConsTitle">
    <w:name w:val="ConsTitle"/>
    <w:uiPriority w:val="99"/>
    <w:qFormat/>
    <w:rsid w:val="00561AE9"/>
    <w:pPr>
      <w:widowControl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fd">
    <w:name w:val="List Paragraph"/>
    <w:basedOn w:val="a"/>
    <w:uiPriority w:val="34"/>
    <w:qFormat/>
    <w:rsid w:val="00561AE9"/>
    <w:pPr>
      <w:ind w:left="720"/>
      <w:contextualSpacing/>
    </w:pPr>
  </w:style>
  <w:style w:type="paragraph" w:styleId="af">
    <w:name w:val="footnote text"/>
    <w:basedOn w:val="a"/>
    <w:link w:val="ae"/>
    <w:uiPriority w:val="99"/>
    <w:unhideWhenUsed/>
    <w:qFormat/>
    <w:rsid w:val="00581251"/>
    <w:rPr>
      <w:rFonts w:ascii="Calibri" w:eastAsia="Calibri" w:hAnsi="Calibri"/>
      <w:sz w:val="20"/>
      <w:szCs w:val="20"/>
      <w:lang w:eastAsia="en-US"/>
    </w:rPr>
  </w:style>
  <w:style w:type="paragraph" w:customStyle="1" w:styleId="afe">
    <w:name w:val="Содержимое врезки"/>
    <w:basedOn w:val="a"/>
    <w:qFormat/>
  </w:style>
  <w:style w:type="table" w:styleId="aff">
    <w:name w:val="Table Grid"/>
    <w:basedOn w:val="a1"/>
    <w:uiPriority w:val="3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266175EA1DBA8DAAB9497F0F0FB3C973269B0D51D915BD8891C59F174080425881888E66EA82B0o8v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CAC74E89A8E6E6D1089576104A9843DAA43077AA246FD64DEBE59A1B7BB8316D2054079DD926DA42747E0E55O9e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5440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Marina</cp:lastModifiedBy>
  <cp:revision>2</cp:revision>
  <cp:lastPrinted>2023-05-29T14:14:00Z</cp:lastPrinted>
  <dcterms:created xsi:type="dcterms:W3CDTF">2023-11-29T03:28:00Z</dcterms:created>
  <dcterms:modified xsi:type="dcterms:W3CDTF">2023-11-29T03:28:00Z</dcterms:modified>
  <dc:language>ru-RU</dc:language>
</cp:coreProperties>
</file>