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АЛЕКСАНДРОВСКОГО МУНИЦИПАЛЬНОГО ОКРУГА</w:t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СТАВРОПОЛЬСКОГО КРАЯ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 Е Ш Е Н И 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27 октября 20213 года              с. Александровское                              № 76</w:t>
      </w:r>
      <w:r>
        <w:rPr>
          <w:sz w:val="28"/>
        </w:rPr>
        <w:t>6</w:t>
      </w:r>
      <w:r>
        <w:rPr>
          <w:sz w:val="28"/>
        </w:rPr>
        <w:t>/14</w:t>
      </w:r>
      <w:r>
        <w:rPr>
          <w:sz w:val="28"/>
        </w:rPr>
        <w:t>5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38"/>
        <w:ind w:left="0" w:right="0" w:hanging="0"/>
        <w:jc w:val="both"/>
        <w:rPr>
          <w:sz w:val="28"/>
        </w:rPr>
      </w:pPr>
      <w:r>
        <w:rPr>
          <w:sz w:val="28"/>
        </w:rPr>
        <w:t>О внесении изменений в прогнозный план (программу) приватизации объектов муниципальной собственности Александровского муниципального округа Ставропольского края на 2023 год, утвержденный решением Совета депутатов Александровского муниципального округа Ставропольского края от 03 марта 2023 года № 656/35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Александровского муниципального округа Ставропольского края, Положением об условиях и порядке приватизации муниципального имущества Александровского муниципального округа Ставропольского края, утвержденным решением Совета депутатов Александровского муниципального округа Ставропольского края от 20 мая 2021 года № 279/132 «Об утверждении Положения о порядке и условиях приватизации муниципального имущества Александровского муниципального округа Ставропольского края», Совет депутатов Александровского муниципального округа Ставропольского края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РЕШИЛ: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 xml:space="preserve">1. Внести изменения в прогнозный план (программу) приватизации объектов муниципальной собственности Александровского муниципального округа Ставропольского края на 2023 год, утвержденный решением Совета депутатов Александровского муниципального округа Ставропольского края от 03 марта 2023 года № 656/35 «Об утверждении прогнозного плана (программы) приватизации объектов муниципальной собственности Александровского муниципального округа Ставропольского края на 2023 год» (с изменениями, </w:t>
      </w:r>
      <w:r>
        <w:rPr>
          <w:sz w:val="28"/>
        </w:rPr>
        <w:t>внесенными</w:t>
      </w:r>
      <w:r>
        <w:rPr>
          <w:sz w:val="28"/>
        </w:rPr>
        <w:t xml:space="preserve"> решением Совета депутатов Александровского муниципального округа Ставропольского края от 19 мая 2023 года № 703/82), дополнив его строк</w:t>
      </w:r>
      <w:r>
        <w:rPr>
          <w:sz w:val="28"/>
        </w:rPr>
        <w:t>ами</w:t>
      </w:r>
      <w:r>
        <w:rPr>
          <w:sz w:val="28"/>
        </w:rPr>
        <w:t xml:space="preserve"> следующего содержания: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</w:r>
    </w:p>
    <w:tbl>
      <w:tblPr>
        <w:tblStyle w:val="Style_1"/>
        <w:tblW w:w="9631" w:type="dxa"/>
        <w:jc w:val="left"/>
        <w:tblInd w:w="-2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1785"/>
        <w:gridCol w:w="2925"/>
        <w:gridCol w:w="3090"/>
        <w:gridCol w:w="1486"/>
      </w:tblGrid>
      <w:tr>
        <w:trPr>
          <w:trHeight w:val="838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Здание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Кадастровый номер: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26:18:060322:53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Площадь - 447,3 кв.м.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Назначение – нежилое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Александровский район,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с. Александровское,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ул. Блинова, 26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Второе полугодие </w:t>
            </w:r>
          </w:p>
        </w:tc>
      </w:tr>
      <w:tr>
        <w:trPr>
          <w:trHeight w:val="838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Земельный участок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Кадастровый номер: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26:18:060322:17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Площадь – 4212 кв.м.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Категория земель - земли населённых пунктов,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Разрешённое использование - деловое управление (код 4.1)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Здание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Кадастровый номер: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26:18:060245:60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Площадь - 196,4 кв.м.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Назначение -нежилое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Ставропольский край,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Александровский район,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с. Александровское,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2448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ул. Столбовая, 11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Второе полугодие</w:t>
            </w:r>
          </w:p>
        </w:tc>
      </w:tr>
      <w:tr>
        <w:trPr>
          <w:trHeight w:val="838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Земельный участок из земель населенных пунктов для размещения нежилых зданий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Кадастровый номер: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26:18:060245:39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Площадь – 1634 кв.м.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Категория земель – земли населенных пунктов,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Разрешенное использование – для размещения нежилых зданий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2. Отделу имущественных и земельных отношений администрации Александровского муниципального округа Ставропольского края опубликовать настоящее решение в районной газете «Александровская жизнь».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</w:t>
      </w:r>
      <w:r>
        <w:rPr>
          <w:sz w:val="28"/>
        </w:rPr>
        <w:t>подписания</w:t>
      </w:r>
      <w:r>
        <w:rPr>
          <w:sz w:val="28"/>
        </w:rPr>
        <w:t>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38"/>
        <w:jc w:val="both"/>
        <w:rPr/>
      </w:pPr>
      <w:r>
        <w:rPr>
          <w:sz w:val="28"/>
        </w:rPr>
        <w:t>Председатель</w:t>
      </w:r>
    </w:p>
    <w:p>
      <w:pPr>
        <w:pStyle w:val="Normal"/>
        <w:spacing w:lineRule="exact" w:line="238"/>
        <w:jc w:val="both"/>
        <w:rPr/>
      </w:pPr>
      <w:r>
        <w:rPr>
          <w:sz w:val="28"/>
        </w:rPr>
        <w:t>Совета депутатов</w:t>
      </w:r>
    </w:p>
    <w:p>
      <w:pPr>
        <w:pStyle w:val="Normal"/>
        <w:spacing w:lineRule="exact" w:line="238"/>
        <w:jc w:val="both"/>
        <w:rPr/>
      </w:pPr>
      <w:r>
        <w:rPr>
          <w:sz w:val="28"/>
        </w:rPr>
        <w:t>Александровского</w:t>
      </w:r>
    </w:p>
    <w:p>
      <w:pPr>
        <w:pStyle w:val="Normal"/>
        <w:spacing w:lineRule="exact" w:line="238"/>
        <w:jc w:val="both"/>
        <w:rPr/>
      </w:pPr>
      <w:r>
        <w:rPr>
          <w:sz w:val="28"/>
        </w:rPr>
        <w:t>муниципального округа</w:t>
      </w:r>
    </w:p>
    <w:p>
      <w:pPr>
        <w:pStyle w:val="Normal"/>
        <w:spacing w:lineRule="exact" w:line="238"/>
        <w:jc w:val="both"/>
        <w:rPr/>
      </w:pPr>
      <w:r>
        <w:rPr>
          <w:sz w:val="28"/>
        </w:rPr>
        <w:t>Ставропольского края                                                                           О.Н. Босова</w:t>
      </w:r>
    </w:p>
    <w:sectPr>
      <w:type w:val="nextPage"/>
      <w:pgSz w:w="11906" w:h="16838"/>
      <w:pgMar w:left="1985" w:right="567" w:gutter="0" w:header="0" w:top="851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31">
    <w:name w:val="Основной текст с отступом 3"/>
    <w:link w:val="33"/>
    <w:qFormat/>
    <w:rPr>
      <w:sz w:val="16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9">
    <w:name w:val="Заголовок таблицы"/>
    <w:basedOn w:val="Style15"/>
    <w:link w:val="Style22"/>
    <w:qFormat/>
    <w:rPr>
      <w:b/>
    </w:rPr>
  </w:style>
  <w:style w:type="character" w:styleId="FR1">
    <w:name w:val="FR1"/>
    <w:link w:val="FR11"/>
    <w:qFormat/>
    <w:rPr>
      <w:rFonts w:ascii="Arial" w:hAnsi="Arial"/>
      <w:color w:val="000000"/>
      <w:sz w:val="20"/>
    </w:rPr>
  </w:style>
  <w:style w:type="character" w:styleId="WW8Num1z0">
    <w:name w:val="WW8Num1z0"/>
    <w:link w:val="WW8Num1z01"/>
    <w:qFormat/>
    <w:rPr/>
  </w:style>
  <w:style w:type="character" w:styleId="Style10">
    <w:name w:val="Основной текст Знак"/>
    <w:link w:val="Style23"/>
    <w:qFormat/>
    <w:rPr>
      <w:sz w:val="24"/>
    </w:rPr>
  </w:style>
  <w:style w:type="character" w:styleId="32">
    <w:name w:val="Основной текст с отступом 3 Знак"/>
    <w:link w:val="34"/>
    <w:qFormat/>
    <w:rPr>
      <w:sz w:val="1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1">
    <w:name w:val="Заголовок"/>
    <w:link w:val="Style16"/>
    <w:qFormat/>
    <w:rPr>
      <w:rFonts w:ascii="Arial" w:hAnsi="Arial"/>
      <w:sz w:val="28"/>
    </w:rPr>
  </w:style>
  <w:style w:type="character" w:styleId="Textbodyindent">
    <w:name w:val="Text body indent"/>
    <w:qFormat/>
    <w:rPr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Textbody">
    <w:name w:val="Text body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Style12">
    <w:name w:val="Текст выноски"/>
    <w:link w:val="Style25"/>
    <w:qFormat/>
    <w:rPr>
      <w:rFonts w:ascii="Tahoma" w:hAnsi="Tahoma"/>
      <w:sz w:val="16"/>
    </w:rPr>
  </w:style>
  <w:style w:type="character" w:styleId="List">
    <w:name w:val="List"/>
    <w:basedOn w:val="Textbody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3">
    <w:name w:val="Указатель"/>
    <w:link w:val="Style20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4">
    <w:name w:val="Основной шрифт абзаца"/>
    <w:link w:val="Style27"/>
    <w:qFormat/>
    <w:rPr/>
  </w:style>
  <w:style w:type="character" w:styleId="Style15">
    <w:name w:val="Содержимое таблицы"/>
    <w:link w:val="Style2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aption">
    <w:name w:val="caption"/>
    <w:link w:val="Caption1"/>
    <w:qFormat/>
    <w:rPr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link w:val="Style11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link w:val="Style13"/>
    <w:qFormat/>
    <w:pPr/>
    <w:rPr/>
  </w:style>
  <w:style w:type="paragraph" w:styleId="33">
    <w:name w:val="Основной текст с отступом 3"/>
    <w:basedOn w:val="Normal"/>
    <w:link w:val="31"/>
    <w:qFormat/>
    <w:pPr>
      <w:spacing w:before="0" w:after="120"/>
      <w:ind w:left="283" w:right="0" w:hanging="0"/>
    </w:pPr>
    <w:rPr>
      <w:sz w:val="16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Содержимое таблицы"/>
    <w:basedOn w:val="Normal"/>
    <w:link w:val="Style15"/>
    <w:qFormat/>
    <w:pPr>
      <w:widowControl w:val="false"/>
    </w:pPr>
    <w:rPr/>
  </w:style>
  <w:style w:type="paragraph" w:styleId="Style22">
    <w:name w:val="Заголовок таблицы"/>
    <w:basedOn w:val="Style21"/>
    <w:link w:val="Style9"/>
    <w:qFormat/>
    <w:pPr>
      <w:jc w:val="center"/>
    </w:pPr>
    <w:rPr>
      <w:b/>
    </w:rPr>
  </w:style>
  <w:style w:type="paragraph" w:styleId="FR11">
    <w:name w:val="FR1"/>
    <w:link w:val="FR1"/>
    <w:qFormat/>
    <w:pPr>
      <w:widowControl w:val="false"/>
      <w:bidi w:val="0"/>
      <w:spacing w:lineRule="auto" w:line="240" w:before="20" w:after="0"/>
      <w:ind w:left="0" w:right="0" w:hanging="0"/>
      <w:jc w:val="both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Основной текст Знак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4">
    <w:name w:val="Основной текст с отступом 3 Знак"/>
    <w:link w:val="3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35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Body Text Indent"/>
    <w:basedOn w:val="Normal"/>
    <w:pPr>
      <w:widowControl w:val="false"/>
      <w:spacing w:lineRule="auto" w:line="252"/>
      <w:ind w:left="120" w:right="0" w:hanging="0"/>
    </w:pPr>
    <w:rPr>
      <w:b/>
      <w:sz w:val="22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Текст выноски"/>
    <w:basedOn w:val="Normal"/>
    <w:link w:val="Style12"/>
    <w:qFormat/>
    <w:pPr/>
    <w:rPr>
      <w:rFonts w:ascii="Tahoma" w:hAnsi="Tahoma"/>
      <w:sz w:val="16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Основной шрифт абзаца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Style29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LibreOffice/7.5.7.1$Linux_X86_64 LibreOffice_project/50$Build-1</Application>
  <AppVersion>15.0000</AppVersion>
  <Pages>2</Pages>
  <Words>325</Words>
  <Characters>2490</Characters>
  <CharactersWithSpaces>2939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2023-10-30T10:46:41Z</dcterms:modified>
  <cp:revision>3</cp:revision>
  <dc:subject/>
  <dc:title/>
</cp:coreProperties>
</file>